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8C" w:rsidRPr="0000297B" w:rsidRDefault="00BD668C" w:rsidP="00DA4195">
      <w:pPr>
        <w:spacing w:after="0" w:line="240" w:lineRule="auto"/>
        <w:jc w:val="right"/>
        <w:rPr>
          <w:rFonts w:ascii="Times New Roman" w:eastAsia="Times New Roman" w:hAnsi="Times New Roman" w:cs="Times New Roman"/>
          <w:lang w:eastAsia="es-EC"/>
        </w:rPr>
      </w:pPr>
      <w:bookmarkStart w:id="0" w:name="_GoBack"/>
      <w:bookmarkEnd w:id="0"/>
      <w:r w:rsidRPr="0000297B">
        <w:rPr>
          <w:rFonts w:ascii="Times New Roman" w:hAnsi="Times New Roman" w:cs="Times New Roman"/>
        </w:rPr>
        <w:t xml:space="preserve">Quito, D.M., </w:t>
      </w:r>
      <w:r w:rsidR="00DA0C23" w:rsidRPr="0000297B">
        <w:rPr>
          <w:rFonts w:ascii="Times New Roman" w:hAnsi="Times New Roman" w:cs="Times New Roman"/>
        </w:rPr>
        <w:t>23</w:t>
      </w:r>
      <w:r w:rsidRPr="0000297B">
        <w:rPr>
          <w:rFonts w:ascii="Times New Roman" w:hAnsi="Times New Roman" w:cs="Times New Roman"/>
        </w:rPr>
        <w:t xml:space="preserve"> de </w:t>
      </w:r>
      <w:r w:rsidR="00DA0C23" w:rsidRPr="0000297B">
        <w:rPr>
          <w:rFonts w:ascii="Times New Roman" w:hAnsi="Times New Roman" w:cs="Times New Roman"/>
        </w:rPr>
        <w:t>diciembre</w:t>
      </w:r>
      <w:r w:rsidRPr="0000297B">
        <w:rPr>
          <w:rFonts w:ascii="Times New Roman" w:hAnsi="Times New Roman" w:cs="Times New Roman"/>
        </w:rPr>
        <w:t xml:space="preserve"> de 2016</w:t>
      </w:r>
    </w:p>
    <w:p w:rsidR="00BD668C" w:rsidRPr="0000297B" w:rsidRDefault="00BD668C" w:rsidP="00DA4195">
      <w:pPr>
        <w:pStyle w:val="Prrafodelista"/>
        <w:spacing w:after="0" w:line="240" w:lineRule="auto"/>
        <w:ind w:left="142"/>
        <w:jc w:val="both"/>
        <w:rPr>
          <w:rFonts w:ascii="Times New Roman" w:eastAsia="Times New Roman" w:hAnsi="Times New Roman" w:cs="Times New Roman"/>
          <w:lang w:eastAsia="es-EC"/>
        </w:rPr>
      </w:pPr>
    </w:p>
    <w:p w:rsidR="00BD668C" w:rsidRPr="0000297B" w:rsidRDefault="00BD668C" w:rsidP="00DA4195">
      <w:pPr>
        <w:spacing w:after="0" w:line="240" w:lineRule="auto"/>
        <w:jc w:val="center"/>
        <w:rPr>
          <w:rFonts w:ascii="Times New Roman" w:eastAsia="Times New Roman" w:hAnsi="Times New Roman" w:cs="Times New Roman"/>
          <w:b/>
          <w:lang w:eastAsia="es-EC"/>
        </w:rPr>
      </w:pPr>
      <w:r w:rsidRPr="0000297B">
        <w:rPr>
          <w:rFonts w:ascii="Times New Roman" w:eastAsia="Times New Roman" w:hAnsi="Times New Roman" w:cs="Times New Roman"/>
          <w:b/>
          <w:lang w:eastAsia="es-EC"/>
        </w:rPr>
        <w:t>OFICIO CIRCULAR A ENTIDADES CONTRATANTES</w:t>
      </w:r>
    </w:p>
    <w:p w:rsidR="00BD668C" w:rsidRPr="0000297B" w:rsidRDefault="00BD668C" w:rsidP="00DA4195">
      <w:pPr>
        <w:spacing w:after="0" w:line="240" w:lineRule="auto"/>
        <w:jc w:val="both"/>
        <w:rPr>
          <w:rFonts w:ascii="Times New Roman" w:eastAsia="Times New Roman" w:hAnsi="Times New Roman" w:cs="Times New Roman"/>
          <w:b/>
          <w:lang w:eastAsia="es-EC"/>
        </w:rPr>
      </w:pPr>
    </w:p>
    <w:p w:rsidR="00DA0C23" w:rsidRPr="0000297B" w:rsidRDefault="00DA0C23" w:rsidP="00DA0C23">
      <w:pPr>
        <w:spacing w:after="0"/>
        <w:ind w:right="49"/>
        <w:jc w:val="center"/>
        <w:rPr>
          <w:rFonts w:ascii="Times New Roman" w:hAnsi="Times New Roman" w:cs="Times New Roman"/>
        </w:rPr>
      </w:pPr>
      <w:r w:rsidRPr="0000297B">
        <w:rPr>
          <w:rFonts w:ascii="Times New Roman" w:hAnsi="Times New Roman" w:cs="Times New Roman"/>
          <w:b/>
          <w:color w:val="000000"/>
        </w:rPr>
        <w:t>L</w:t>
      </w:r>
      <w:r w:rsidRPr="0000297B">
        <w:rPr>
          <w:rFonts w:ascii="Times New Roman" w:hAnsi="Times New Roman" w:cs="Times New Roman"/>
          <w:b/>
          <w:u w:val="single"/>
        </w:rPr>
        <w:t>OS VALORES DE LOS ÍNDICES FINANCIEROS ESTABLECIDOS POR LA ENTIDAD CONTRATANTE PARA UN PROCEDIMIENTO DE CONTRATACIÓN NO SERÁN CAUSAL DE RECHAZO DE LA OFERTA</w:t>
      </w:r>
      <w:r w:rsidRPr="0000297B">
        <w:rPr>
          <w:rFonts w:ascii="Times New Roman" w:hAnsi="Times New Roman" w:cs="Times New Roman"/>
        </w:rPr>
        <w:t>.</w:t>
      </w:r>
    </w:p>
    <w:p w:rsidR="00DA4195" w:rsidRPr="0000297B" w:rsidRDefault="00B11A61" w:rsidP="00DA4195">
      <w:pPr>
        <w:spacing w:after="0" w:line="240" w:lineRule="auto"/>
        <w:jc w:val="both"/>
        <w:rPr>
          <w:rFonts w:ascii="Times New Roman" w:eastAsia="Times New Roman" w:hAnsi="Times New Roman" w:cs="Times New Roman"/>
          <w:b/>
          <w:lang w:eastAsia="es-EC"/>
        </w:rPr>
      </w:pPr>
      <w:r w:rsidRPr="0000297B">
        <w:rPr>
          <w:rFonts w:ascii="Times New Roman" w:eastAsia="Times New Roman" w:hAnsi="Times New Roman" w:cs="Times New Roman"/>
          <w:b/>
          <w:lang w:eastAsia="es-EC"/>
        </w:rPr>
        <w:br/>
      </w:r>
      <w:r w:rsidR="00DA4195" w:rsidRPr="0000297B">
        <w:rPr>
          <w:rFonts w:ascii="Times New Roman" w:eastAsia="Times New Roman" w:hAnsi="Times New Roman" w:cs="Times New Roman"/>
          <w:b/>
          <w:lang w:eastAsia="es-EC"/>
        </w:rPr>
        <w:t>I. Base Legal.-</w:t>
      </w:r>
    </w:p>
    <w:p w:rsidR="00DA0C23" w:rsidRPr="0000297B" w:rsidRDefault="00DA4195" w:rsidP="00DA0C23">
      <w:pPr>
        <w:pStyle w:val="Prrafodelista"/>
        <w:numPr>
          <w:ilvl w:val="0"/>
          <w:numId w:val="36"/>
        </w:numPr>
        <w:shd w:val="clear" w:color="auto" w:fill="FFFFFF"/>
        <w:spacing w:after="0"/>
        <w:ind w:right="49"/>
        <w:jc w:val="both"/>
        <w:rPr>
          <w:rFonts w:ascii="Times New Roman" w:hAnsi="Times New Roman" w:cs="Times New Roman"/>
          <w:color w:val="000000"/>
        </w:rPr>
      </w:pPr>
      <w:r w:rsidRPr="0000297B">
        <w:rPr>
          <w:rFonts w:ascii="Times New Roman" w:eastAsia="Times New Roman" w:hAnsi="Times New Roman" w:cs="Times New Roman"/>
          <w:b/>
          <w:lang w:eastAsia="es-EC"/>
        </w:rPr>
        <w:br/>
      </w:r>
      <w:r w:rsidR="00DA0C23" w:rsidRPr="0000297B">
        <w:rPr>
          <w:rFonts w:ascii="Times New Roman" w:hAnsi="Times New Roman" w:cs="Times New Roman"/>
          <w:b/>
          <w:color w:val="000000"/>
          <w:u w:val="single"/>
        </w:rPr>
        <w:t>Constitución de la República del Ecuador</w:t>
      </w:r>
      <w:r w:rsidR="00DA0C23" w:rsidRPr="0000297B">
        <w:rPr>
          <w:rFonts w:ascii="Times New Roman" w:hAnsi="Times New Roman" w:cs="Times New Roman"/>
          <w:b/>
          <w:color w:val="000000"/>
        </w:rPr>
        <w:t>:</w:t>
      </w:r>
    </w:p>
    <w:p w:rsidR="00DA0C23" w:rsidRPr="0000297B" w:rsidRDefault="00DA0C23" w:rsidP="00DA0C23">
      <w:pPr>
        <w:spacing w:after="0"/>
        <w:ind w:right="49"/>
        <w:jc w:val="both"/>
        <w:rPr>
          <w:rFonts w:ascii="Times New Roman" w:hAnsi="Times New Roman" w:cs="Times New Roman"/>
          <w:color w:val="000000"/>
        </w:rPr>
      </w:pPr>
    </w:p>
    <w:p w:rsidR="00DA0C23" w:rsidRPr="0000297B" w:rsidRDefault="00DA0C23" w:rsidP="00DA0C23">
      <w:pPr>
        <w:jc w:val="both"/>
        <w:rPr>
          <w:rFonts w:ascii="Times New Roman" w:hAnsi="Times New Roman" w:cs="Times New Roman"/>
          <w:color w:val="000000"/>
        </w:rPr>
      </w:pPr>
      <w:r w:rsidRPr="0000297B">
        <w:rPr>
          <w:rFonts w:ascii="Times New Roman" w:hAnsi="Times New Roman" w:cs="Times New Roman"/>
          <w:color w:val="000000"/>
        </w:rPr>
        <w:t>Artículo 76, letra l), Motivación:</w:t>
      </w:r>
    </w:p>
    <w:p w:rsidR="00DA0C23" w:rsidRPr="0000297B" w:rsidRDefault="00DA0C23" w:rsidP="00DA0C23">
      <w:pPr>
        <w:ind w:left="66"/>
        <w:jc w:val="both"/>
        <w:rPr>
          <w:rFonts w:ascii="Times New Roman" w:hAnsi="Times New Roman" w:cs="Times New Roman"/>
          <w:color w:val="000000"/>
        </w:rPr>
      </w:pPr>
      <w:r w:rsidRPr="0000297B">
        <w:rPr>
          <w:rFonts w:ascii="Times New Roman" w:hAnsi="Times New Roman" w:cs="Times New Roman"/>
          <w:color w:val="000000"/>
        </w:rPr>
        <w:t xml:space="preserve">“l) </w:t>
      </w:r>
      <w:r w:rsidRPr="0000297B">
        <w:rPr>
          <w:rFonts w:ascii="Times New Roman" w:hAnsi="Times New Roman" w:cs="Times New Roman"/>
          <w:b/>
          <w:color w:val="000000"/>
        </w:rPr>
        <w:t>Las resoluciones de los poderes públicos deberán ser motivadas</w:t>
      </w:r>
      <w:r w:rsidRPr="0000297B">
        <w:rPr>
          <w:rFonts w:ascii="Times New Roman" w:hAnsi="Times New Roman" w:cs="Times New Roman"/>
          <w:color w:val="000000"/>
        </w:rPr>
        <w:t xml:space="preserve">. No habrá motivación si en la resolución no se enuncian </w:t>
      </w:r>
      <w:r w:rsidRPr="0000297B">
        <w:rPr>
          <w:rFonts w:ascii="Times New Roman" w:hAnsi="Times New Roman" w:cs="Times New Roman"/>
          <w:b/>
          <w:color w:val="000000"/>
        </w:rPr>
        <w:t>las normas o principios jurídicos en que se funda y no se explica la pertinencia de su aplicación a los antecedentes de hecho</w:t>
      </w:r>
      <w:r w:rsidRPr="0000297B">
        <w:rPr>
          <w:rFonts w:ascii="Times New Roman" w:hAnsi="Times New Roman" w:cs="Times New Roman"/>
          <w:color w:val="000000"/>
        </w:rPr>
        <w:t>. Los actos administrativos, resoluciones o fallos que no se encuentren debidamente motivados se considerarán nulos. Las servidoras o servidores responsables serán sancionados”. (Énfasis agregado)</w:t>
      </w:r>
    </w:p>
    <w:p w:rsidR="00DA0C23" w:rsidRPr="0000297B" w:rsidRDefault="00DA0C23" w:rsidP="00DA0C23">
      <w:pPr>
        <w:ind w:left="66"/>
        <w:jc w:val="both"/>
        <w:rPr>
          <w:rFonts w:ascii="Times New Roman" w:hAnsi="Times New Roman" w:cs="Times New Roman"/>
          <w:color w:val="000000"/>
        </w:rPr>
      </w:pPr>
      <w:r w:rsidRPr="0000297B">
        <w:rPr>
          <w:rFonts w:ascii="Times New Roman" w:hAnsi="Times New Roman" w:cs="Times New Roman"/>
          <w:color w:val="000000"/>
        </w:rPr>
        <w:t xml:space="preserve">Artículo 226, Personas que actúen en virtud de una potestad estatal: </w:t>
      </w:r>
    </w:p>
    <w:p w:rsidR="00DA0C23" w:rsidRPr="0000297B" w:rsidRDefault="00DA0C23" w:rsidP="00DA0C23">
      <w:pPr>
        <w:jc w:val="both"/>
        <w:rPr>
          <w:rFonts w:ascii="Times New Roman" w:hAnsi="Times New Roman" w:cs="Times New Roman"/>
        </w:rPr>
      </w:pPr>
      <w:r w:rsidRPr="0000297B">
        <w:rPr>
          <w:rFonts w:ascii="Times New Roman" w:hAnsi="Times New Roman" w:cs="Times New Roman"/>
          <w:color w:val="000000"/>
        </w:rPr>
        <w:t xml:space="preserve">“Las instituciones del Estado, sus organismos, dependencias, las servidoras o servidores públicos y las personas que actúen en virtud de una potestad estatal </w:t>
      </w:r>
      <w:r w:rsidRPr="0000297B">
        <w:rPr>
          <w:rFonts w:ascii="Times New Roman" w:hAnsi="Times New Roman" w:cs="Times New Roman"/>
          <w:b/>
          <w:color w:val="000000"/>
        </w:rPr>
        <w:t>ejercerán solamente las competencias y facultades que les sean atribuidas en la Constitución y la ley</w:t>
      </w:r>
      <w:r w:rsidRPr="0000297B">
        <w:rPr>
          <w:rFonts w:ascii="Times New Roman" w:hAnsi="Times New Roman" w:cs="Times New Roman"/>
          <w:color w:val="000000"/>
        </w:rPr>
        <w:t>. Tendrán el deber de coordinar acciones para el cumplimiento de sus fines y hacer efectivo el goce y ejercicio de los derechos reconocidos en la Constitución.”.</w:t>
      </w:r>
      <w:r w:rsidRPr="0000297B">
        <w:rPr>
          <w:rFonts w:ascii="Times New Roman" w:hAnsi="Times New Roman" w:cs="Times New Roman"/>
          <w:i/>
          <w:color w:val="000000"/>
        </w:rPr>
        <w:t xml:space="preserve"> </w:t>
      </w:r>
      <w:r w:rsidRPr="0000297B">
        <w:rPr>
          <w:rFonts w:ascii="Times New Roman" w:hAnsi="Times New Roman" w:cs="Times New Roman"/>
          <w:color w:val="000000"/>
        </w:rPr>
        <w:t>(Énfasis agregado).</w:t>
      </w:r>
    </w:p>
    <w:p w:rsidR="00DA0C23" w:rsidRPr="0000297B" w:rsidRDefault="00DA0C23" w:rsidP="00DA0C23">
      <w:pPr>
        <w:jc w:val="both"/>
        <w:rPr>
          <w:rFonts w:ascii="Times New Roman" w:hAnsi="Times New Roman" w:cs="Times New Roman"/>
        </w:rPr>
      </w:pPr>
      <w:r w:rsidRPr="0000297B">
        <w:rPr>
          <w:rFonts w:ascii="Times New Roman" w:hAnsi="Times New Roman" w:cs="Times New Roman"/>
        </w:rPr>
        <w:t>Artículo 227, Principios de la Administración Pública:</w:t>
      </w:r>
    </w:p>
    <w:p w:rsidR="00DA0C23" w:rsidRPr="0000297B" w:rsidRDefault="00DA0C23" w:rsidP="00DA0C23">
      <w:pPr>
        <w:spacing w:after="0"/>
        <w:ind w:right="49"/>
        <w:jc w:val="both"/>
        <w:rPr>
          <w:rFonts w:ascii="Times New Roman" w:hAnsi="Times New Roman" w:cs="Times New Roman"/>
          <w:i/>
          <w:color w:val="000000"/>
        </w:rPr>
      </w:pPr>
      <w:r w:rsidRPr="0000297B">
        <w:rPr>
          <w:rFonts w:ascii="Times New Roman" w:hAnsi="Times New Roman" w:cs="Times New Roman"/>
        </w:rPr>
        <w:t xml:space="preserve">“La </w:t>
      </w:r>
      <w:r w:rsidRPr="0000297B">
        <w:rPr>
          <w:rStyle w:val="hit"/>
          <w:rFonts w:ascii="Times New Roman" w:hAnsi="Times New Roman" w:cs="Times New Roman"/>
        </w:rPr>
        <w:t>administración</w:t>
      </w:r>
      <w:r w:rsidRPr="0000297B">
        <w:rPr>
          <w:rFonts w:ascii="Times New Roman" w:hAnsi="Times New Roman" w:cs="Times New Roman"/>
        </w:rPr>
        <w:t xml:space="preserve"> </w:t>
      </w:r>
      <w:r w:rsidRPr="0000297B">
        <w:rPr>
          <w:rStyle w:val="hit"/>
          <w:rFonts w:ascii="Times New Roman" w:hAnsi="Times New Roman" w:cs="Times New Roman"/>
        </w:rPr>
        <w:t>pública</w:t>
      </w:r>
      <w:r w:rsidRPr="0000297B">
        <w:rPr>
          <w:rFonts w:ascii="Times New Roman" w:hAnsi="Times New Roman" w:cs="Times New Roman"/>
        </w:rPr>
        <w:t xml:space="preserve"> constituye un servicio a la colectividad que se rige por los principios de eficacia, eficiencia, calidad, jerarquía, desconcentración, descentralización, coordinación, participación, planificación, </w:t>
      </w:r>
      <w:r w:rsidRPr="0000297B">
        <w:rPr>
          <w:rFonts w:ascii="Times New Roman" w:hAnsi="Times New Roman" w:cs="Times New Roman"/>
          <w:b/>
        </w:rPr>
        <w:t>transparencia</w:t>
      </w:r>
      <w:r w:rsidRPr="0000297B">
        <w:rPr>
          <w:rFonts w:ascii="Times New Roman" w:hAnsi="Times New Roman" w:cs="Times New Roman"/>
        </w:rPr>
        <w:t xml:space="preserve"> y evaluación”. </w:t>
      </w:r>
      <w:r w:rsidRPr="0000297B">
        <w:rPr>
          <w:rFonts w:ascii="Times New Roman" w:hAnsi="Times New Roman" w:cs="Times New Roman"/>
          <w:color w:val="000000"/>
        </w:rPr>
        <w:t>(Énfasis agregado)</w:t>
      </w:r>
    </w:p>
    <w:p w:rsidR="00DA0C23" w:rsidRPr="0000297B" w:rsidRDefault="00DA0C23" w:rsidP="00DA0C23">
      <w:pPr>
        <w:spacing w:after="0"/>
        <w:ind w:right="49"/>
        <w:jc w:val="both"/>
        <w:rPr>
          <w:rFonts w:ascii="Times New Roman" w:hAnsi="Times New Roman" w:cs="Times New Roman"/>
          <w:b/>
          <w:color w:val="000000"/>
        </w:rPr>
      </w:pPr>
    </w:p>
    <w:p w:rsidR="00DA0C23" w:rsidRPr="0000297B" w:rsidRDefault="00DA0C23" w:rsidP="00DA0C23">
      <w:pPr>
        <w:jc w:val="both"/>
        <w:rPr>
          <w:rFonts w:ascii="Times New Roman" w:hAnsi="Times New Roman" w:cs="Times New Roman"/>
        </w:rPr>
      </w:pPr>
      <w:r w:rsidRPr="0000297B">
        <w:rPr>
          <w:rFonts w:ascii="Times New Roman" w:hAnsi="Times New Roman" w:cs="Times New Roman"/>
        </w:rPr>
        <w:t>Artículo 288, Criterios de la Compra Pública:</w:t>
      </w: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 xml:space="preserve">“Las compras públicas cumplirán con </w:t>
      </w:r>
      <w:r w:rsidRPr="0000297B">
        <w:rPr>
          <w:rFonts w:ascii="Times New Roman" w:hAnsi="Times New Roman" w:cs="Times New Roman"/>
          <w:b/>
        </w:rPr>
        <w:t xml:space="preserve">criterios de eficiencia, transparencia, </w:t>
      </w:r>
      <w:r w:rsidRPr="0000297B">
        <w:rPr>
          <w:rFonts w:ascii="Times New Roman" w:hAnsi="Times New Roman" w:cs="Times New Roman"/>
        </w:rPr>
        <w:t>calidad, responsabilidad ambiental y social. Se priorizarán los productos y servicios nacionales, en particular los provenientes de la economía popular y solidaria, y de las micro, pequeñas y medianas unidades productivas”</w:t>
      </w:r>
      <w:r w:rsidRPr="0000297B">
        <w:rPr>
          <w:rFonts w:ascii="Times New Roman" w:hAnsi="Times New Roman" w:cs="Times New Roman"/>
          <w:b/>
        </w:rPr>
        <w:t>.</w:t>
      </w:r>
      <w:r w:rsidRPr="0000297B">
        <w:rPr>
          <w:rFonts w:ascii="Times New Roman" w:hAnsi="Times New Roman" w:cs="Times New Roman"/>
        </w:rPr>
        <w:t xml:space="preserve"> (Énfasis agregado)</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pStyle w:val="Prrafodelista"/>
        <w:numPr>
          <w:ilvl w:val="0"/>
          <w:numId w:val="36"/>
        </w:numPr>
        <w:spacing w:after="0"/>
        <w:ind w:right="49"/>
        <w:jc w:val="both"/>
        <w:rPr>
          <w:rFonts w:ascii="Times New Roman" w:hAnsi="Times New Roman" w:cs="Times New Roman"/>
          <w:b/>
          <w:color w:val="000000"/>
        </w:rPr>
      </w:pPr>
      <w:r w:rsidRPr="0000297B">
        <w:rPr>
          <w:rFonts w:ascii="Times New Roman" w:hAnsi="Times New Roman" w:cs="Times New Roman"/>
          <w:b/>
          <w:color w:val="000000"/>
          <w:u w:val="single"/>
        </w:rPr>
        <w:t>Ley Orgánica del Sistema Nacional de Contratación Pública</w:t>
      </w:r>
      <w:r w:rsidRPr="0000297B">
        <w:rPr>
          <w:rFonts w:ascii="Times New Roman" w:hAnsi="Times New Roman" w:cs="Times New Roman"/>
          <w:b/>
          <w:color w:val="000000"/>
        </w:rPr>
        <w:t>.-</w:t>
      </w:r>
    </w:p>
    <w:p w:rsidR="00DA0C23" w:rsidRPr="0000297B" w:rsidRDefault="00DA0C23" w:rsidP="00DA0C23">
      <w:pPr>
        <w:spacing w:after="0"/>
        <w:ind w:right="49"/>
        <w:jc w:val="both"/>
        <w:rPr>
          <w:rFonts w:ascii="Times New Roman" w:hAnsi="Times New Roman" w:cs="Times New Roman"/>
          <w:b/>
          <w:color w:val="000000"/>
        </w:rPr>
      </w:pPr>
    </w:p>
    <w:p w:rsidR="00DA0C23" w:rsidRPr="0000297B" w:rsidRDefault="00DA0C23" w:rsidP="00DA0C23">
      <w:pPr>
        <w:ind w:left="66"/>
        <w:jc w:val="both"/>
        <w:rPr>
          <w:rFonts w:ascii="Times New Roman" w:hAnsi="Times New Roman" w:cs="Times New Roman"/>
        </w:rPr>
      </w:pPr>
      <w:r w:rsidRPr="0000297B">
        <w:rPr>
          <w:rFonts w:ascii="Times New Roman" w:hAnsi="Times New Roman" w:cs="Times New Roman"/>
        </w:rPr>
        <w:t>Artículo 4, Principios:</w:t>
      </w: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color w:val="000000"/>
        </w:rPr>
        <w:t>“</w:t>
      </w:r>
      <w:r w:rsidRPr="0000297B">
        <w:rPr>
          <w:rFonts w:ascii="Times New Roman" w:hAnsi="Times New Roman" w:cs="Times New Roman"/>
        </w:rPr>
        <w:t xml:space="preserve">Para la aplicación de esta Ley y de los contratos que de ella deriven, se observarán los principios de legalidad, trato justo, igualdad, calidad, vigencia tecnológica, oportunidad, concurrencia, </w:t>
      </w:r>
      <w:r w:rsidRPr="0000297B">
        <w:rPr>
          <w:rFonts w:ascii="Times New Roman" w:hAnsi="Times New Roman" w:cs="Times New Roman"/>
          <w:b/>
        </w:rPr>
        <w:t>transparencia</w:t>
      </w:r>
      <w:r w:rsidRPr="0000297B">
        <w:rPr>
          <w:rFonts w:ascii="Times New Roman" w:hAnsi="Times New Roman" w:cs="Times New Roman"/>
        </w:rPr>
        <w:t>, publicidad; y, participación nacional”. (Énfasis agregado)</w:t>
      </w:r>
    </w:p>
    <w:p w:rsidR="00DA0C23" w:rsidRPr="0000297B" w:rsidRDefault="00DA0C23" w:rsidP="00DA0C23">
      <w:pPr>
        <w:spacing w:after="0"/>
        <w:ind w:right="49"/>
        <w:jc w:val="both"/>
        <w:rPr>
          <w:rFonts w:ascii="Times New Roman" w:hAnsi="Times New Roman" w:cs="Times New Roman"/>
          <w:b/>
        </w:rPr>
      </w:pPr>
    </w:p>
    <w:p w:rsidR="00DA0C23" w:rsidRPr="0000297B" w:rsidRDefault="00DA0C23" w:rsidP="00DA0C23">
      <w:pPr>
        <w:jc w:val="both"/>
        <w:rPr>
          <w:rFonts w:ascii="Times New Roman" w:hAnsi="Times New Roman" w:cs="Times New Roman"/>
        </w:rPr>
      </w:pPr>
      <w:r w:rsidRPr="0000297B">
        <w:rPr>
          <w:rFonts w:ascii="Times New Roman" w:hAnsi="Times New Roman" w:cs="Times New Roman"/>
        </w:rPr>
        <w:t>Artículo 9, numeral 4, 6, 9 y 10 Objetivos del Sistema:</w:t>
      </w: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 xml:space="preserve">Son objetivos prioritarios del Estado, en materia de </w:t>
      </w:r>
      <w:r w:rsidRPr="0000297B">
        <w:rPr>
          <w:rStyle w:val="hit"/>
          <w:rFonts w:ascii="Times New Roman" w:hAnsi="Times New Roman" w:cs="Times New Roman"/>
        </w:rPr>
        <w:t>contratación</w:t>
      </w:r>
      <w:r w:rsidRPr="0000297B">
        <w:rPr>
          <w:rFonts w:ascii="Times New Roman" w:hAnsi="Times New Roman" w:cs="Times New Roman"/>
        </w:rPr>
        <w:t xml:space="preserve"> </w:t>
      </w:r>
      <w:r w:rsidRPr="0000297B">
        <w:rPr>
          <w:rStyle w:val="hit"/>
          <w:rFonts w:ascii="Times New Roman" w:hAnsi="Times New Roman" w:cs="Times New Roman"/>
        </w:rPr>
        <w:t>pública</w:t>
      </w:r>
      <w:r w:rsidRPr="0000297B">
        <w:rPr>
          <w:rFonts w:ascii="Times New Roman" w:hAnsi="Times New Roman" w:cs="Times New Roman"/>
        </w:rPr>
        <w:t xml:space="preserve">, los siguientes: </w:t>
      </w:r>
      <w:r w:rsidRPr="0000297B">
        <w:rPr>
          <w:rFonts w:ascii="Times New Roman" w:hAnsi="Times New Roman" w:cs="Times New Roman"/>
          <w:color w:val="000000"/>
        </w:rPr>
        <w:t>[…]</w:t>
      </w:r>
      <w:r w:rsidRPr="0000297B">
        <w:rPr>
          <w:rFonts w:ascii="Times New Roman" w:hAnsi="Times New Roman" w:cs="Times New Roman"/>
          <w:b/>
        </w:rPr>
        <w:t xml:space="preserve"> 3.Garantizar la transparencia y evitar la discrecionalidad en la contratación pública; </w:t>
      </w:r>
      <w:r w:rsidRPr="0000297B">
        <w:rPr>
          <w:rFonts w:ascii="Times New Roman" w:hAnsi="Times New Roman" w:cs="Times New Roman"/>
          <w:color w:val="000000"/>
        </w:rPr>
        <w:t>[…]</w:t>
      </w:r>
      <w:r w:rsidRPr="0000297B">
        <w:rPr>
          <w:rFonts w:ascii="Times New Roman" w:hAnsi="Times New Roman" w:cs="Times New Roman"/>
          <w:b/>
        </w:rPr>
        <w:t xml:space="preserve"> </w:t>
      </w:r>
      <w:r w:rsidRPr="0000297B">
        <w:rPr>
          <w:rFonts w:ascii="Times New Roman" w:hAnsi="Times New Roman" w:cs="Times New Roman"/>
        </w:rPr>
        <w:t xml:space="preserve">4. Convertir la contratación pública en un elemento dinamizador de la producción nacional; </w:t>
      </w:r>
      <w:r w:rsidRPr="0000297B">
        <w:rPr>
          <w:rFonts w:ascii="Times New Roman" w:hAnsi="Times New Roman" w:cs="Times New Roman"/>
          <w:color w:val="000000"/>
        </w:rPr>
        <w:t xml:space="preserve">[…] </w:t>
      </w:r>
      <w:r w:rsidRPr="0000297B">
        <w:rPr>
          <w:rFonts w:ascii="Times New Roman" w:hAnsi="Times New Roman" w:cs="Times New Roman"/>
        </w:rPr>
        <w:t xml:space="preserve">6. Agilitar, simplificar y adecuar los procesos de adquisición a las distintas necesidades de las políticas públicas y a su ejecución oportuna; </w:t>
      </w:r>
      <w:r w:rsidRPr="0000297B">
        <w:rPr>
          <w:rFonts w:ascii="Times New Roman" w:hAnsi="Times New Roman" w:cs="Times New Roman"/>
          <w:color w:val="000000"/>
        </w:rPr>
        <w:t xml:space="preserve">[…] </w:t>
      </w:r>
      <w:r w:rsidRPr="0000297B">
        <w:rPr>
          <w:rFonts w:ascii="Times New Roman" w:hAnsi="Times New Roman" w:cs="Times New Roman"/>
        </w:rPr>
        <w:t>9. Modernizar los procesos de contratación pública para que sean una herramienta de eficiencia en la gestión económica de los recursos del Estado; 10. Garantizar la permanencia y efectividad de los sistemas de control de gestión y transparencia del gasto público;</w:t>
      </w:r>
      <w:r w:rsidRPr="0000297B">
        <w:rPr>
          <w:rFonts w:ascii="Times New Roman" w:hAnsi="Times New Roman" w:cs="Times New Roman"/>
          <w:color w:val="000000"/>
        </w:rPr>
        <w:t xml:space="preserve"> […]</w:t>
      </w:r>
      <w:r w:rsidRPr="0000297B">
        <w:rPr>
          <w:rStyle w:val="hit"/>
          <w:rFonts w:ascii="Times New Roman" w:hAnsi="Times New Roman" w:cs="Times New Roman"/>
        </w:rPr>
        <w:t xml:space="preserve"> </w:t>
      </w:r>
      <w:r w:rsidRPr="0000297B">
        <w:rPr>
          <w:rFonts w:ascii="Times New Roman" w:hAnsi="Times New Roman" w:cs="Times New Roman"/>
        </w:rPr>
        <w:t>(Énfasis agregado)</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jc w:val="both"/>
        <w:rPr>
          <w:rFonts w:ascii="Times New Roman" w:hAnsi="Times New Roman" w:cs="Times New Roman"/>
        </w:rPr>
      </w:pPr>
      <w:r w:rsidRPr="0000297B">
        <w:rPr>
          <w:rFonts w:ascii="Times New Roman" w:hAnsi="Times New Roman" w:cs="Times New Roman"/>
        </w:rPr>
        <w:t>Artículo 10, numeral 1, 2, 3 y 9, Atribuciones del SERCOP:</w:t>
      </w: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color w:val="000000"/>
        </w:rPr>
        <w:t xml:space="preserve">“[…] </w:t>
      </w:r>
      <w:r w:rsidRPr="0000297B">
        <w:rPr>
          <w:rFonts w:ascii="Times New Roman" w:hAnsi="Times New Roman" w:cs="Times New Roman"/>
        </w:rPr>
        <w:t xml:space="preserve">El Servicio Nacional de </w:t>
      </w:r>
      <w:r w:rsidRPr="0000297B">
        <w:rPr>
          <w:rStyle w:val="hit"/>
          <w:rFonts w:ascii="Times New Roman" w:hAnsi="Times New Roman" w:cs="Times New Roman"/>
        </w:rPr>
        <w:t>Contratación</w:t>
      </w:r>
      <w:r w:rsidRPr="0000297B">
        <w:rPr>
          <w:rFonts w:ascii="Times New Roman" w:hAnsi="Times New Roman" w:cs="Times New Roman"/>
        </w:rPr>
        <w:t xml:space="preserve"> </w:t>
      </w:r>
      <w:r w:rsidRPr="0000297B">
        <w:rPr>
          <w:rStyle w:val="hit"/>
          <w:rFonts w:ascii="Times New Roman" w:hAnsi="Times New Roman" w:cs="Times New Roman"/>
        </w:rPr>
        <w:t>Pública</w:t>
      </w:r>
      <w:r w:rsidRPr="0000297B">
        <w:rPr>
          <w:rFonts w:ascii="Times New Roman" w:hAnsi="Times New Roman" w:cs="Times New Roman"/>
        </w:rPr>
        <w:t xml:space="preserve"> ejercerá la rectoría del Sistema Nacional de </w:t>
      </w:r>
      <w:r w:rsidRPr="0000297B">
        <w:rPr>
          <w:rStyle w:val="hit"/>
          <w:rFonts w:ascii="Times New Roman" w:hAnsi="Times New Roman" w:cs="Times New Roman"/>
        </w:rPr>
        <w:t>Contratación</w:t>
      </w:r>
      <w:r w:rsidRPr="0000297B">
        <w:rPr>
          <w:rFonts w:ascii="Times New Roman" w:hAnsi="Times New Roman" w:cs="Times New Roman"/>
        </w:rPr>
        <w:t xml:space="preserve"> </w:t>
      </w:r>
      <w:r w:rsidRPr="0000297B">
        <w:rPr>
          <w:rStyle w:val="hit"/>
          <w:rFonts w:ascii="Times New Roman" w:hAnsi="Times New Roman" w:cs="Times New Roman"/>
        </w:rPr>
        <w:t>Pública</w:t>
      </w:r>
      <w:r w:rsidRPr="0000297B">
        <w:rPr>
          <w:rFonts w:ascii="Times New Roman" w:hAnsi="Times New Roman" w:cs="Times New Roman"/>
        </w:rPr>
        <w:t xml:space="preserve"> conforme a las siguientes atribuciones: 1. Asegurar y exigir el cumplimiento de los objetivos prioritarios del Sistema Nacional de Contratación Pública</w:t>
      </w:r>
      <w:r w:rsidRPr="0000297B">
        <w:rPr>
          <w:rFonts w:ascii="Times New Roman" w:hAnsi="Times New Roman" w:cs="Times New Roman"/>
          <w:b/>
        </w:rPr>
        <w:t xml:space="preserve">;  </w:t>
      </w:r>
      <w:r w:rsidRPr="0000297B">
        <w:rPr>
          <w:rFonts w:ascii="Times New Roman" w:hAnsi="Times New Roman" w:cs="Times New Roman"/>
        </w:rPr>
        <w:t>2. Promover y ejecutar la política de contratación pública dictada por el Directorio; 3. Establecer los lineamientos generales que sirvan de base para la formulación de los planes de contrataciones de las entidades sujetas a la presente Ley;</w:t>
      </w:r>
      <w:r w:rsidRPr="0000297B">
        <w:rPr>
          <w:rFonts w:ascii="Times New Roman" w:hAnsi="Times New Roman" w:cs="Times New Roman"/>
          <w:color w:val="000000"/>
        </w:rPr>
        <w:t xml:space="preserve"> […]</w:t>
      </w:r>
      <w:r w:rsidRPr="0000297B">
        <w:rPr>
          <w:rFonts w:ascii="Times New Roman" w:hAnsi="Times New Roman" w:cs="Times New Roman"/>
        </w:rPr>
        <w:t xml:space="preserve"> 9. </w:t>
      </w:r>
      <w:r w:rsidRPr="0000297B">
        <w:rPr>
          <w:rFonts w:ascii="Times New Roman" w:hAnsi="Times New Roman" w:cs="Times New Roman"/>
          <w:b/>
        </w:rPr>
        <w:t>Dictar normas administrativas, manuales e instructivos relacionados con esta Ley</w:t>
      </w:r>
      <w:r w:rsidRPr="0000297B">
        <w:rPr>
          <w:rFonts w:ascii="Times New Roman" w:hAnsi="Times New Roman" w:cs="Times New Roman"/>
        </w:rPr>
        <w:t>;</w:t>
      </w:r>
      <w:r w:rsidRPr="0000297B">
        <w:rPr>
          <w:rFonts w:ascii="Times New Roman" w:hAnsi="Times New Roman" w:cs="Times New Roman"/>
          <w:color w:val="000000"/>
        </w:rPr>
        <w:t xml:space="preserve"> […]</w:t>
      </w:r>
      <w:r w:rsidRPr="0000297B">
        <w:rPr>
          <w:rFonts w:ascii="Times New Roman" w:hAnsi="Times New Roman" w:cs="Times New Roman"/>
        </w:rPr>
        <w:t>”. (Énfasis agregado)</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color w:val="000000"/>
        </w:rPr>
      </w:pPr>
      <w:r w:rsidRPr="0000297B">
        <w:rPr>
          <w:rFonts w:ascii="Times New Roman" w:hAnsi="Times New Roman" w:cs="Times New Roman"/>
          <w:color w:val="000000"/>
        </w:rPr>
        <w:t>Artículo 14, Control del Sistema Nacional:</w:t>
      </w:r>
    </w:p>
    <w:p w:rsidR="00DA0C23" w:rsidRPr="0000297B" w:rsidRDefault="00DA0C23" w:rsidP="00DA0C23">
      <w:pPr>
        <w:spacing w:after="0"/>
        <w:ind w:right="49"/>
        <w:jc w:val="both"/>
        <w:rPr>
          <w:rFonts w:ascii="Times New Roman" w:hAnsi="Times New Roman" w:cs="Times New Roman"/>
          <w:b/>
          <w:color w:val="000000"/>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 xml:space="preserve">“El control del </w:t>
      </w:r>
      <w:r w:rsidRPr="0000297B">
        <w:rPr>
          <w:rStyle w:val="hit"/>
          <w:rFonts w:ascii="Times New Roman" w:hAnsi="Times New Roman" w:cs="Times New Roman"/>
        </w:rPr>
        <w:t>Sistema</w:t>
      </w:r>
      <w:r w:rsidRPr="0000297B">
        <w:rPr>
          <w:rFonts w:ascii="Times New Roman" w:hAnsi="Times New Roman" w:cs="Times New Roman"/>
        </w:rPr>
        <w:t xml:space="preserve"> </w:t>
      </w:r>
      <w:r w:rsidRPr="0000297B">
        <w:rPr>
          <w:rStyle w:val="hit"/>
          <w:rFonts w:ascii="Times New Roman" w:hAnsi="Times New Roman" w:cs="Times New Roman"/>
        </w:rPr>
        <w:t>Nacional</w:t>
      </w:r>
      <w:r w:rsidRPr="0000297B">
        <w:rPr>
          <w:rFonts w:ascii="Times New Roman" w:hAnsi="Times New Roman" w:cs="Times New Roman"/>
        </w:rPr>
        <w:t xml:space="preserve"> de </w:t>
      </w:r>
      <w:r w:rsidRPr="0000297B">
        <w:rPr>
          <w:rStyle w:val="hit"/>
          <w:rFonts w:ascii="Times New Roman" w:hAnsi="Times New Roman" w:cs="Times New Roman"/>
        </w:rPr>
        <w:t>Contratación</w:t>
      </w:r>
      <w:r w:rsidRPr="0000297B">
        <w:rPr>
          <w:rFonts w:ascii="Times New Roman" w:hAnsi="Times New Roman" w:cs="Times New Roman"/>
        </w:rPr>
        <w:t xml:space="preserve"> </w:t>
      </w:r>
      <w:r w:rsidRPr="0000297B">
        <w:rPr>
          <w:rStyle w:val="hit"/>
          <w:rFonts w:ascii="Times New Roman" w:hAnsi="Times New Roman" w:cs="Times New Roman"/>
        </w:rPr>
        <w:t>Pública</w:t>
      </w:r>
      <w:r w:rsidRPr="0000297B">
        <w:rPr>
          <w:rFonts w:ascii="Times New Roman" w:hAnsi="Times New Roman" w:cs="Times New Roman"/>
        </w:rPr>
        <w:t xml:space="preserve"> será intensivo, interrelacionado y completamente articulado entre los diferentes entes con competencia para ello. Incluirá la fase precontractual, la de ejecución del contrato y la de evaluación del mismo […]”</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Artículo 99, Responsabilidades:</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 La máxima autoridad de la entidad, así como los funcionarios o servidores de la misma que hubieren intervenido en cualquiera de las etapas de los procedimientos precontractuales de preparación, selección, contratación así como en la ejecución misma de los contratos serán personal y pecuniariamente responsables por el incumplimiento de las disposiciones de esta Ley, sin perjuicio, de ser el caso, de la responsabilidad penal a que hubiere lugar. […]”.</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Disposición General Primera, Infracciones a la Ley:</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“Toda infracción a la presente Ley cometida por autoridades, funcionarios, empleados públicos o privados o cualquier persona que actúe o haya intervenido en el procedimiento de contratación a nombre de las Entidades Contratantes será sancionada por la Contraloría General del Estado y en el plazo de treinta (30) días”.</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pStyle w:val="Prrafodelista"/>
        <w:numPr>
          <w:ilvl w:val="0"/>
          <w:numId w:val="36"/>
        </w:numPr>
        <w:spacing w:after="0"/>
        <w:ind w:right="49"/>
        <w:jc w:val="both"/>
        <w:rPr>
          <w:rFonts w:ascii="Times New Roman" w:hAnsi="Times New Roman" w:cs="Times New Roman"/>
          <w:b/>
          <w:color w:val="000000"/>
        </w:rPr>
      </w:pPr>
      <w:r w:rsidRPr="0000297B">
        <w:rPr>
          <w:rFonts w:ascii="Times New Roman" w:hAnsi="Times New Roman" w:cs="Times New Roman"/>
          <w:b/>
          <w:color w:val="000000"/>
          <w:u w:val="single"/>
        </w:rPr>
        <w:t>Reglamento General de la Ley Orgánica del Sistema Nacional de Contratación Pública</w:t>
      </w:r>
      <w:r w:rsidRPr="0000297B">
        <w:rPr>
          <w:rFonts w:ascii="Times New Roman" w:hAnsi="Times New Roman" w:cs="Times New Roman"/>
          <w:b/>
          <w:color w:val="000000"/>
        </w:rPr>
        <w:t>.-</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Artículo 6, Atribuciones del SERCOP:</w:t>
      </w:r>
    </w:p>
    <w:p w:rsidR="00DA0C23" w:rsidRPr="0000297B" w:rsidRDefault="00DA0C23" w:rsidP="00DA0C23">
      <w:pPr>
        <w:spacing w:after="0"/>
        <w:ind w:right="49"/>
        <w:jc w:val="both"/>
        <w:rPr>
          <w:rFonts w:ascii="Times New Roman" w:hAnsi="Times New Roman" w:cs="Times New Roman"/>
          <w:b/>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 xml:space="preserve">“A más de las establecidas en la </w:t>
      </w:r>
      <w:r w:rsidRPr="0000297B">
        <w:rPr>
          <w:rStyle w:val="hit"/>
          <w:rFonts w:ascii="Times New Roman" w:hAnsi="Times New Roman" w:cs="Times New Roman"/>
        </w:rPr>
        <w:t>Ley</w:t>
      </w:r>
      <w:r w:rsidRPr="0000297B">
        <w:rPr>
          <w:rFonts w:ascii="Times New Roman" w:hAnsi="Times New Roman" w:cs="Times New Roman"/>
        </w:rPr>
        <w:t xml:space="preserve">, serán atribuciones del SERCOP: 1. Ejercer el monitoreo constante de los procedimientos efectuados en el marco del </w:t>
      </w:r>
      <w:r w:rsidRPr="0000297B">
        <w:rPr>
          <w:rStyle w:val="hit"/>
          <w:rFonts w:ascii="Times New Roman" w:hAnsi="Times New Roman" w:cs="Times New Roman"/>
        </w:rPr>
        <w:t>Sistema</w:t>
      </w:r>
      <w:r w:rsidRPr="0000297B">
        <w:rPr>
          <w:rFonts w:ascii="Times New Roman" w:hAnsi="Times New Roman" w:cs="Times New Roman"/>
        </w:rPr>
        <w:t xml:space="preserve"> </w:t>
      </w:r>
      <w:r w:rsidRPr="0000297B">
        <w:rPr>
          <w:rStyle w:val="hit"/>
          <w:rFonts w:ascii="Times New Roman" w:hAnsi="Times New Roman" w:cs="Times New Roman"/>
        </w:rPr>
        <w:t>Nacional</w:t>
      </w:r>
      <w:r w:rsidRPr="0000297B">
        <w:rPr>
          <w:rFonts w:ascii="Times New Roman" w:hAnsi="Times New Roman" w:cs="Times New Roman"/>
        </w:rPr>
        <w:t xml:space="preserve"> de </w:t>
      </w:r>
      <w:r w:rsidRPr="0000297B">
        <w:rPr>
          <w:rStyle w:val="hit"/>
          <w:rFonts w:ascii="Times New Roman" w:hAnsi="Times New Roman" w:cs="Times New Roman"/>
        </w:rPr>
        <w:t>Contratación</w:t>
      </w:r>
      <w:r w:rsidRPr="0000297B">
        <w:rPr>
          <w:rFonts w:ascii="Times New Roman" w:hAnsi="Times New Roman" w:cs="Times New Roman"/>
        </w:rPr>
        <w:t xml:space="preserve"> </w:t>
      </w:r>
      <w:r w:rsidRPr="0000297B">
        <w:rPr>
          <w:rStyle w:val="hit"/>
          <w:rFonts w:ascii="Times New Roman" w:hAnsi="Times New Roman" w:cs="Times New Roman"/>
        </w:rPr>
        <w:t xml:space="preserve">Pública; […] </w:t>
      </w:r>
      <w:r w:rsidRPr="0000297B">
        <w:rPr>
          <w:rFonts w:ascii="Times New Roman" w:hAnsi="Times New Roman" w:cs="Times New Roman"/>
        </w:rPr>
        <w:t xml:space="preserve">3. Supervisar de oficio o pedido de parte, conductas elusivas de los principios y objetivos del Sistema Nacional de Contratación Pública, tales como: plazos insuficientes, especificaciones técnicas subjetivas o direccionadas, presupuestos fuera de la realidad del mercado, parámetros de evaluación discrecionales, entre otros; 4. Realizar evaluaciones y reportes periódicos sobre la gestión que en materia de contratación pública efectúen las entidades contratantes; y de ser el caso, </w:t>
      </w:r>
      <w:r w:rsidRPr="0000297B">
        <w:rPr>
          <w:rFonts w:ascii="Times New Roman" w:hAnsi="Times New Roman" w:cs="Times New Roman"/>
          <w:b/>
        </w:rPr>
        <w:t>generar alertas o recomendaciones de cumplimiento obligatorio</w:t>
      </w:r>
      <w:r w:rsidRPr="0000297B">
        <w:rPr>
          <w:rFonts w:ascii="Times New Roman" w:hAnsi="Times New Roman" w:cs="Times New Roman"/>
        </w:rPr>
        <w:t>, sin perjuicio de que sean puestas en conocimiento de los organismos de control pertinentes […]”.(Énfasis agregado)</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pStyle w:val="Prrafodelista"/>
        <w:numPr>
          <w:ilvl w:val="0"/>
          <w:numId w:val="36"/>
        </w:numPr>
        <w:spacing w:after="0"/>
        <w:ind w:right="49"/>
        <w:jc w:val="both"/>
        <w:rPr>
          <w:rFonts w:ascii="Times New Roman" w:hAnsi="Times New Roman" w:cs="Times New Roman"/>
          <w:b/>
          <w:color w:val="000000"/>
        </w:rPr>
      </w:pPr>
      <w:r w:rsidRPr="0000297B">
        <w:rPr>
          <w:rFonts w:ascii="Times New Roman" w:hAnsi="Times New Roman" w:cs="Times New Roman"/>
          <w:b/>
          <w:color w:val="000000"/>
          <w:u w:val="single"/>
        </w:rPr>
        <w:t>Codificación de Resoluciones del SERCOP (Resolución No. RE-SERCOP-2016-0000072)</w:t>
      </w:r>
      <w:r w:rsidRPr="0000297B">
        <w:rPr>
          <w:rFonts w:ascii="Times New Roman" w:hAnsi="Times New Roman" w:cs="Times New Roman"/>
          <w:b/>
          <w:color w:val="000000"/>
        </w:rPr>
        <w:t>.-</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Artículo 166, Índices Financieros:</w:t>
      </w:r>
    </w:p>
    <w:p w:rsidR="00DA0C23" w:rsidRPr="0000297B" w:rsidRDefault="00DA0C23" w:rsidP="00DA0C23">
      <w:pPr>
        <w:spacing w:after="0"/>
        <w:ind w:right="49"/>
        <w:jc w:val="both"/>
        <w:rPr>
          <w:rFonts w:ascii="Times New Roman" w:hAnsi="Times New Roman" w:cs="Times New Roman"/>
        </w:rPr>
      </w:pPr>
    </w:p>
    <w:p w:rsidR="00DA0C23" w:rsidRPr="0000297B" w:rsidRDefault="00DA0C23" w:rsidP="00DA0C23">
      <w:pPr>
        <w:spacing w:after="0"/>
        <w:ind w:right="49"/>
        <w:jc w:val="both"/>
        <w:rPr>
          <w:rFonts w:ascii="Times New Roman" w:hAnsi="Times New Roman" w:cs="Times New Roman"/>
        </w:rPr>
      </w:pPr>
      <w:r w:rsidRPr="0000297B">
        <w:rPr>
          <w:rFonts w:ascii="Times New Roman" w:hAnsi="Times New Roman" w:cs="Times New Roman"/>
        </w:rPr>
        <w:t xml:space="preserve">“Índices financieros.- Corresponde a la entidad contratante señalar en los pliegos, los índices financieros que va a utilizar en el procedimiento de contratación y cuál es el valor mínimo/máximo de cada uno de ellos, por lo que, los señalados en los modelos de pliegos expedidos por el Servicio Nacional de Contratación Pública, </w:t>
      </w:r>
      <w:r w:rsidRPr="0000297B">
        <w:rPr>
          <w:rFonts w:ascii="Times New Roman" w:hAnsi="Times New Roman" w:cs="Times New Roman"/>
          <w:b/>
        </w:rPr>
        <w:t>son referenciales</w:t>
      </w:r>
      <w:r w:rsidRPr="0000297B">
        <w:rPr>
          <w:rFonts w:ascii="Times New Roman" w:hAnsi="Times New Roman" w:cs="Times New Roman"/>
        </w:rPr>
        <w:t xml:space="preserve">. Los índices regularmente aceptados son: Índice de Solvencia (mayor o igual a 1,0); Índice de Endeudamiento (menor a 1,5), siendo estos índices y valores </w:t>
      </w:r>
      <w:r w:rsidRPr="0000297B">
        <w:rPr>
          <w:rFonts w:ascii="Times New Roman" w:hAnsi="Times New Roman" w:cs="Times New Roman"/>
          <w:b/>
        </w:rPr>
        <w:t>recomendados</w:t>
      </w:r>
      <w:r w:rsidRPr="0000297B">
        <w:rPr>
          <w:rFonts w:ascii="Times New Roman" w:hAnsi="Times New Roman" w:cs="Times New Roman"/>
        </w:rPr>
        <w:t xml:space="preserve">, pudiendo la entidad contratante modificarlos a su criterio. Los factores para su cálculo estarán respaldados en la correspondiente declaración de impuesto a la renta del ejercicio fiscal correspondiente y/o los balances presentados al órgano de control respectivo. </w:t>
      </w:r>
      <w:r w:rsidRPr="0000297B">
        <w:rPr>
          <w:rFonts w:ascii="Times New Roman" w:hAnsi="Times New Roman" w:cs="Times New Roman"/>
          <w:b/>
          <w:u w:val="single"/>
        </w:rPr>
        <w:t>El incumplimiento de los valores de los índices financieros establecidos por la entidad contratante no será causal de rechazo de la oferta</w:t>
      </w:r>
      <w:r w:rsidRPr="0000297B">
        <w:rPr>
          <w:rFonts w:ascii="Times New Roman" w:hAnsi="Times New Roman" w:cs="Times New Roman"/>
        </w:rPr>
        <w:t>, por no ser éstos requisitos mínimos de obligatorio cumplimiento. En caso de compromisos de asociación o consorcio el análisis de los índices financieros se realizará a partir de la suma de los índices de cada uno de los partícipes”. (Énfasis agregado)</w:t>
      </w:r>
    </w:p>
    <w:p w:rsidR="00DA4195" w:rsidRPr="0000297B" w:rsidRDefault="00DA4195" w:rsidP="00DA0C23">
      <w:pPr>
        <w:spacing w:after="0" w:line="240" w:lineRule="auto"/>
        <w:jc w:val="both"/>
        <w:rPr>
          <w:rFonts w:ascii="Times New Roman" w:eastAsia="Times New Roman" w:hAnsi="Times New Roman" w:cs="Times New Roman"/>
          <w:lang w:eastAsia="es-EC"/>
        </w:rPr>
      </w:pPr>
    </w:p>
    <w:p w:rsidR="00DA0C23" w:rsidRPr="0000297B" w:rsidRDefault="00DA0C23" w:rsidP="00DA0C23">
      <w:pPr>
        <w:spacing w:after="0" w:line="240" w:lineRule="auto"/>
        <w:jc w:val="both"/>
        <w:rPr>
          <w:rFonts w:ascii="Times New Roman" w:eastAsia="Times New Roman" w:hAnsi="Times New Roman" w:cs="Times New Roman"/>
          <w:lang w:eastAsia="es-EC"/>
        </w:rPr>
      </w:pPr>
    </w:p>
    <w:p w:rsidR="00290BD6" w:rsidRPr="0000297B" w:rsidRDefault="00290BD6" w:rsidP="00DA4195">
      <w:pPr>
        <w:spacing w:after="0" w:line="240" w:lineRule="auto"/>
        <w:jc w:val="both"/>
        <w:rPr>
          <w:rFonts w:ascii="Times New Roman" w:eastAsia="Times New Roman" w:hAnsi="Times New Roman" w:cs="Times New Roman"/>
          <w:iCs/>
          <w:lang w:eastAsia="es-EC"/>
        </w:rPr>
      </w:pPr>
      <w:r w:rsidRPr="0000297B">
        <w:rPr>
          <w:rFonts w:ascii="Times New Roman" w:eastAsia="Times New Roman" w:hAnsi="Times New Roman" w:cs="Times New Roman"/>
          <w:b/>
          <w:lang w:eastAsia="es-EC"/>
        </w:rPr>
        <w:lastRenderedPageBreak/>
        <w:t>II. Circular.-</w:t>
      </w:r>
    </w:p>
    <w:p w:rsidR="00290BD6" w:rsidRPr="0000297B" w:rsidRDefault="00290BD6" w:rsidP="00DA4195">
      <w:pPr>
        <w:spacing w:after="0" w:line="240" w:lineRule="auto"/>
        <w:jc w:val="both"/>
        <w:rPr>
          <w:rFonts w:ascii="Times New Roman" w:eastAsia="Times New Roman" w:hAnsi="Times New Roman" w:cs="Times New Roman"/>
          <w:lang w:eastAsia="es-EC"/>
        </w:rPr>
      </w:pPr>
    </w:p>
    <w:p w:rsidR="00290BD6" w:rsidRPr="0000297B" w:rsidRDefault="00290BD6" w:rsidP="00DA4195">
      <w:pPr>
        <w:spacing w:after="0" w:line="240" w:lineRule="auto"/>
        <w:jc w:val="both"/>
        <w:rPr>
          <w:rFonts w:ascii="Times New Roman" w:eastAsia="Times New Roman" w:hAnsi="Times New Roman" w:cs="Times New Roman"/>
          <w:lang w:eastAsia="es-EC"/>
        </w:rPr>
      </w:pPr>
      <w:r w:rsidRPr="0000297B">
        <w:rPr>
          <w:rFonts w:ascii="Times New Roman" w:eastAsia="Times New Roman" w:hAnsi="Times New Roman" w:cs="Times New Roman"/>
          <w:lang w:eastAsia="es-EC"/>
        </w:rPr>
        <w:t>En base a la normativa expuesta, el Servicio Nacional de Contratación Pública</w:t>
      </w:r>
      <w:r w:rsidR="00DA0C23" w:rsidRPr="0000297B">
        <w:rPr>
          <w:rFonts w:ascii="Times New Roman" w:eastAsia="Times New Roman" w:hAnsi="Times New Roman" w:cs="Times New Roman"/>
          <w:lang w:eastAsia="es-EC"/>
        </w:rPr>
        <w:t>, como ente rector de la contratación pública</w:t>
      </w:r>
      <w:r w:rsidRPr="0000297B">
        <w:rPr>
          <w:rFonts w:ascii="Times New Roman" w:eastAsia="Times New Roman" w:hAnsi="Times New Roman" w:cs="Times New Roman"/>
          <w:lang w:eastAsia="es-EC"/>
        </w:rPr>
        <w:t xml:space="preserve"> insiste a las entidades contratantes el cumplimiento obligatorio de las siguientes disposiciones:</w:t>
      </w:r>
    </w:p>
    <w:p w:rsidR="00290BD6" w:rsidRPr="0000297B" w:rsidRDefault="00290BD6" w:rsidP="00DA4195">
      <w:pPr>
        <w:spacing w:after="0" w:line="240" w:lineRule="auto"/>
        <w:jc w:val="both"/>
        <w:rPr>
          <w:rFonts w:ascii="Times New Roman" w:eastAsia="Times New Roman" w:hAnsi="Times New Roman" w:cs="Times New Roman"/>
          <w:lang w:eastAsia="es-EC"/>
        </w:rPr>
      </w:pPr>
    </w:p>
    <w:p w:rsidR="00DA0C23" w:rsidRPr="0000297B" w:rsidRDefault="00C464F8" w:rsidP="00DA0C23">
      <w:pPr>
        <w:spacing w:after="0" w:line="240" w:lineRule="auto"/>
        <w:jc w:val="both"/>
        <w:rPr>
          <w:rFonts w:ascii="Times New Roman" w:hAnsi="Times New Roman" w:cs="Times New Roman"/>
        </w:rPr>
      </w:pPr>
      <w:r w:rsidRPr="0000297B">
        <w:rPr>
          <w:rFonts w:ascii="Times New Roman" w:eastAsia="Times New Roman" w:hAnsi="Times New Roman" w:cs="Times New Roman"/>
          <w:lang w:eastAsia="es-EC"/>
        </w:rPr>
        <w:t xml:space="preserve">En relación a lo dispuesto en el artículo </w:t>
      </w:r>
      <w:r w:rsidR="00DA0C23" w:rsidRPr="0000297B">
        <w:rPr>
          <w:rFonts w:ascii="Times New Roman" w:eastAsia="Times New Roman" w:hAnsi="Times New Roman" w:cs="Times New Roman"/>
          <w:lang w:eastAsia="es-EC"/>
        </w:rPr>
        <w:t>166</w:t>
      </w:r>
      <w:r w:rsidRPr="0000297B">
        <w:rPr>
          <w:rFonts w:ascii="Times New Roman" w:eastAsia="Times New Roman" w:hAnsi="Times New Roman" w:cs="Times New Roman"/>
          <w:lang w:eastAsia="es-EC"/>
        </w:rPr>
        <w:t xml:space="preserve"> de la Codificación de Resoluciones del SERCOP expedida mediante Resolución No. RE-SERCOP-2016-0000072 de fecha 31 de agosto de 2016, las entidades contratantes </w:t>
      </w:r>
      <w:r w:rsidR="00DA0C23" w:rsidRPr="0000297B">
        <w:rPr>
          <w:rFonts w:ascii="Times New Roman" w:eastAsia="Times New Roman" w:hAnsi="Times New Roman" w:cs="Times New Roman"/>
          <w:lang w:eastAsia="es-EC"/>
        </w:rPr>
        <w:t xml:space="preserve">deberán considerar como referenciales a los índices financieros establecidos en los procedimientos de contratación pública, por lo que, no serán una causal </w:t>
      </w:r>
      <w:r w:rsidR="00DA0C23" w:rsidRPr="0000297B">
        <w:rPr>
          <w:rFonts w:ascii="Times New Roman" w:hAnsi="Times New Roman" w:cs="Times New Roman"/>
          <w:b/>
          <w:u w:val="single"/>
        </w:rPr>
        <w:t>de rechazo de la oferta</w:t>
      </w:r>
      <w:r w:rsidR="00DA0C23" w:rsidRPr="0000297B">
        <w:rPr>
          <w:rFonts w:ascii="Times New Roman" w:hAnsi="Times New Roman" w:cs="Times New Roman"/>
        </w:rPr>
        <w:t>, por no ser éstos requisitos mínimos de obligatorio cumplimiento</w:t>
      </w:r>
      <w:r w:rsidR="00DA0C23" w:rsidRPr="0000297B">
        <w:rPr>
          <w:rFonts w:ascii="Times New Roman" w:hAnsi="Times New Roman" w:cs="Times New Roman"/>
        </w:rPr>
        <w:t>.</w:t>
      </w:r>
    </w:p>
    <w:p w:rsidR="00DA0C23" w:rsidRPr="0000297B" w:rsidRDefault="00DA0C23" w:rsidP="00DA0C23">
      <w:pPr>
        <w:spacing w:after="0" w:line="240" w:lineRule="auto"/>
        <w:jc w:val="both"/>
        <w:rPr>
          <w:rFonts w:ascii="Times New Roman" w:eastAsia="Times New Roman" w:hAnsi="Times New Roman" w:cs="Times New Roman"/>
          <w:lang w:eastAsia="es-EC"/>
        </w:rPr>
      </w:pPr>
    </w:p>
    <w:p w:rsidR="00BD668C" w:rsidRPr="0000297B" w:rsidRDefault="00BD668C" w:rsidP="00DA4195">
      <w:pPr>
        <w:spacing w:after="0" w:line="240" w:lineRule="auto"/>
        <w:jc w:val="both"/>
        <w:rPr>
          <w:rFonts w:ascii="Times New Roman" w:eastAsia="Times New Roman" w:hAnsi="Times New Roman" w:cs="Times New Roman"/>
          <w:lang w:eastAsia="es-EC"/>
        </w:rPr>
      </w:pPr>
      <w:r w:rsidRPr="0000297B">
        <w:rPr>
          <w:rFonts w:ascii="Times New Roman" w:eastAsia="Times New Roman" w:hAnsi="Times New Roman" w:cs="Times New Roman"/>
          <w:lang w:eastAsia="es-EC"/>
        </w:rPr>
        <w:t>El Servicio Nacional de Contratación Pública</w:t>
      </w:r>
      <w:r w:rsidR="00D1350E" w:rsidRPr="0000297B">
        <w:rPr>
          <w:rFonts w:ascii="Times New Roman" w:eastAsia="Times New Roman" w:hAnsi="Times New Roman" w:cs="Times New Roman"/>
          <w:lang w:eastAsia="es-EC"/>
        </w:rPr>
        <w:t xml:space="preserve"> en base a sus atribuciones, realizará la respectiva supervisión</w:t>
      </w:r>
      <w:r w:rsidRPr="0000297B">
        <w:rPr>
          <w:rFonts w:ascii="Times New Roman" w:eastAsia="Times New Roman" w:hAnsi="Times New Roman" w:cs="Times New Roman"/>
          <w:lang w:eastAsia="es-EC"/>
        </w:rPr>
        <w:t xml:space="preserve"> </w:t>
      </w:r>
      <w:r w:rsidR="00D1350E" w:rsidRPr="0000297B">
        <w:rPr>
          <w:rFonts w:ascii="Times New Roman" w:eastAsia="Times New Roman" w:hAnsi="Times New Roman" w:cs="Times New Roman"/>
          <w:lang w:eastAsia="es-EC"/>
        </w:rPr>
        <w:t xml:space="preserve">y control del cumplimiento de </w:t>
      </w:r>
      <w:r w:rsidRPr="0000297B">
        <w:rPr>
          <w:rFonts w:ascii="Times New Roman" w:eastAsia="Times New Roman" w:hAnsi="Times New Roman" w:cs="Times New Roman"/>
          <w:lang w:eastAsia="es-EC"/>
        </w:rPr>
        <w:t>estas disposiciones.</w:t>
      </w:r>
    </w:p>
    <w:p w:rsidR="00183D92" w:rsidRPr="0000297B" w:rsidRDefault="00183D92" w:rsidP="00DA4195">
      <w:pPr>
        <w:spacing w:after="0" w:line="240" w:lineRule="auto"/>
        <w:jc w:val="both"/>
        <w:rPr>
          <w:rFonts w:ascii="Times New Roman" w:eastAsia="Times New Roman" w:hAnsi="Times New Roman" w:cs="Times New Roman"/>
          <w:lang w:eastAsia="es-EC"/>
        </w:rPr>
      </w:pPr>
    </w:p>
    <w:p w:rsidR="00BD668C" w:rsidRPr="0000297B" w:rsidRDefault="00BD668C" w:rsidP="00DA4195">
      <w:pPr>
        <w:spacing w:after="0" w:line="240" w:lineRule="auto"/>
        <w:jc w:val="both"/>
        <w:rPr>
          <w:rFonts w:ascii="Times New Roman" w:eastAsia="Times New Roman" w:hAnsi="Times New Roman" w:cs="Times New Roman"/>
          <w:lang w:eastAsia="es-EC"/>
        </w:rPr>
      </w:pPr>
    </w:p>
    <w:p w:rsidR="00BD668C" w:rsidRPr="0000297B" w:rsidRDefault="00BD668C" w:rsidP="00DA4195">
      <w:pPr>
        <w:spacing w:after="0" w:line="240" w:lineRule="auto"/>
        <w:jc w:val="both"/>
        <w:rPr>
          <w:rFonts w:ascii="Times New Roman" w:eastAsia="Times New Roman" w:hAnsi="Times New Roman" w:cs="Times New Roman"/>
          <w:lang w:eastAsia="es-EC"/>
        </w:rPr>
      </w:pPr>
    </w:p>
    <w:p w:rsidR="00183D92" w:rsidRPr="0000297B" w:rsidRDefault="00183D92" w:rsidP="00DA4195">
      <w:pPr>
        <w:spacing w:after="0" w:line="240" w:lineRule="auto"/>
        <w:jc w:val="both"/>
        <w:rPr>
          <w:rFonts w:ascii="Times New Roman" w:eastAsia="Times New Roman" w:hAnsi="Times New Roman" w:cs="Times New Roman"/>
          <w:lang w:eastAsia="es-EC"/>
        </w:rPr>
      </w:pPr>
    </w:p>
    <w:p w:rsidR="00183D92" w:rsidRPr="0000297B" w:rsidRDefault="00183D92" w:rsidP="00DA4195">
      <w:pPr>
        <w:spacing w:after="0" w:line="240" w:lineRule="auto"/>
        <w:jc w:val="both"/>
        <w:rPr>
          <w:rFonts w:ascii="Times New Roman" w:eastAsia="Times New Roman" w:hAnsi="Times New Roman" w:cs="Times New Roman"/>
          <w:lang w:eastAsia="es-EC"/>
        </w:rPr>
      </w:pPr>
    </w:p>
    <w:p w:rsidR="00BD668C" w:rsidRPr="0000297B" w:rsidRDefault="00BD668C" w:rsidP="00DA0C23">
      <w:pPr>
        <w:spacing w:after="0" w:line="240" w:lineRule="auto"/>
        <w:jc w:val="center"/>
        <w:rPr>
          <w:rFonts w:ascii="Times New Roman" w:eastAsia="Times New Roman" w:hAnsi="Times New Roman" w:cs="Times New Roman"/>
          <w:b/>
          <w:lang w:eastAsia="es-EC"/>
        </w:rPr>
      </w:pPr>
      <w:r w:rsidRPr="0000297B">
        <w:rPr>
          <w:rFonts w:ascii="Times New Roman" w:eastAsia="Times New Roman" w:hAnsi="Times New Roman" w:cs="Times New Roman"/>
          <w:b/>
          <w:lang w:eastAsia="es-EC"/>
        </w:rPr>
        <w:t>Ec. Santiago Vásquez Cazar</w:t>
      </w:r>
    </w:p>
    <w:p w:rsidR="00BD668C" w:rsidRPr="0000297B" w:rsidRDefault="00BD668C" w:rsidP="00DA0C23">
      <w:pPr>
        <w:spacing w:after="0" w:line="240" w:lineRule="auto"/>
        <w:jc w:val="center"/>
        <w:rPr>
          <w:rFonts w:ascii="Times New Roman" w:eastAsia="Times New Roman" w:hAnsi="Times New Roman" w:cs="Times New Roman"/>
          <w:b/>
          <w:lang w:eastAsia="es-EC"/>
        </w:rPr>
      </w:pPr>
      <w:r w:rsidRPr="0000297B">
        <w:rPr>
          <w:rFonts w:ascii="Times New Roman" w:eastAsia="Times New Roman" w:hAnsi="Times New Roman" w:cs="Times New Roman"/>
          <w:b/>
          <w:lang w:eastAsia="es-EC"/>
        </w:rPr>
        <w:t>Director General</w:t>
      </w:r>
    </w:p>
    <w:p w:rsidR="00BD668C" w:rsidRPr="0000297B" w:rsidRDefault="00BD668C" w:rsidP="00DA0C23">
      <w:pPr>
        <w:spacing w:after="0" w:line="240" w:lineRule="auto"/>
        <w:jc w:val="center"/>
        <w:rPr>
          <w:rFonts w:ascii="Times New Roman" w:hAnsi="Times New Roman" w:cs="Times New Roman"/>
          <w:b/>
        </w:rPr>
      </w:pPr>
      <w:r w:rsidRPr="0000297B">
        <w:rPr>
          <w:rFonts w:ascii="Times New Roman" w:eastAsia="Times New Roman" w:hAnsi="Times New Roman" w:cs="Times New Roman"/>
          <w:b/>
          <w:lang w:eastAsia="es-EC"/>
        </w:rPr>
        <w:t>Servicio Nacional de Contratación Pública</w:t>
      </w:r>
    </w:p>
    <w:sectPr w:rsidR="00BD668C" w:rsidRPr="0000297B" w:rsidSect="00BD668C">
      <w:pgSz w:w="12240" w:h="15840"/>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F8F"/>
    <w:multiLevelType w:val="hybridMultilevel"/>
    <w:tmpl w:val="F6E8B8A4"/>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0FF7226"/>
    <w:multiLevelType w:val="hybridMultilevel"/>
    <w:tmpl w:val="A9BE7552"/>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20D62F2"/>
    <w:multiLevelType w:val="multilevel"/>
    <w:tmpl w:val="3BC2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4F4E70"/>
    <w:multiLevelType w:val="multilevel"/>
    <w:tmpl w:val="B02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F061D"/>
    <w:multiLevelType w:val="multilevel"/>
    <w:tmpl w:val="618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02CD0"/>
    <w:multiLevelType w:val="multilevel"/>
    <w:tmpl w:val="B12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C2ED4"/>
    <w:multiLevelType w:val="hybridMultilevel"/>
    <w:tmpl w:val="36583686"/>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13D56E3"/>
    <w:multiLevelType w:val="hybridMultilevel"/>
    <w:tmpl w:val="976692FA"/>
    <w:lvl w:ilvl="0" w:tplc="23248868">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34E1503"/>
    <w:multiLevelType w:val="multilevel"/>
    <w:tmpl w:val="9EF4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202FA"/>
    <w:multiLevelType w:val="multilevel"/>
    <w:tmpl w:val="B98A77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446F31"/>
    <w:multiLevelType w:val="hybridMultilevel"/>
    <w:tmpl w:val="A8B82C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29630099"/>
    <w:multiLevelType w:val="hybridMultilevel"/>
    <w:tmpl w:val="220A2E4E"/>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2AAB277C"/>
    <w:multiLevelType w:val="hybridMultilevel"/>
    <w:tmpl w:val="9B8CF41E"/>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2B31238F"/>
    <w:multiLevelType w:val="hybridMultilevel"/>
    <w:tmpl w:val="B1C2169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30335878"/>
    <w:multiLevelType w:val="hybridMultilevel"/>
    <w:tmpl w:val="280CD5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32867B1D"/>
    <w:multiLevelType w:val="multilevel"/>
    <w:tmpl w:val="900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1521FC"/>
    <w:multiLevelType w:val="multilevel"/>
    <w:tmpl w:val="3488C2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7">
    <w:nsid w:val="35B940BA"/>
    <w:multiLevelType w:val="multilevel"/>
    <w:tmpl w:val="C55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B7C2E"/>
    <w:multiLevelType w:val="multilevel"/>
    <w:tmpl w:val="62F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6937EB"/>
    <w:multiLevelType w:val="hybridMultilevel"/>
    <w:tmpl w:val="C494011C"/>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3CF36E7C"/>
    <w:multiLevelType w:val="multilevel"/>
    <w:tmpl w:val="C18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566AA"/>
    <w:multiLevelType w:val="multilevel"/>
    <w:tmpl w:val="85D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40C59"/>
    <w:multiLevelType w:val="hybridMultilevel"/>
    <w:tmpl w:val="C7A6CB74"/>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4F9D0AFE"/>
    <w:multiLevelType w:val="multilevel"/>
    <w:tmpl w:val="E2B8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85731"/>
    <w:multiLevelType w:val="hybridMultilevel"/>
    <w:tmpl w:val="6A06D27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16E3892"/>
    <w:multiLevelType w:val="multilevel"/>
    <w:tmpl w:val="8298879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6">
    <w:nsid w:val="5C127627"/>
    <w:multiLevelType w:val="hybridMultilevel"/>
    <w:tmpl w:val="C562F78E"/>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nsid w:val="5D9B5421"/>
    <w:multiLevelType w:val="hybridMultilevel"/>
    <w:tmpl w:val="3AE0FBEC"/>
    <w:lvl w:ilvl="0" w:tplc="3574EB90">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617A6121"/>
    <w:multiLevelType w:val="multilevel"/>
    <w:tmpl w:val="EF1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E62935"/>
    <w:multiLevelType w:val="multilevel"/>
    <w:tmpl w:val="A5C296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42B0A4A"/>
    <w:multiLevelType w:val="multilevel"/>
    <w:tmpl w:val="F78C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8F19BF"/>
    <w:multiLevelType w:val="multilevel"/>
    <w:tmpl w:val="B48ABA5E"/>
    <w:lvl w:ilvl="0">
      <w:start w:val="1"/>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nsid w:val="6D633817"/>
    <w:multiLevelType w:val="hybridMultilevel"/>
    <w:tmpl w:val="7A94E8AE"/>
    <w:lvl w:ilvl="0" w:tplc="0C4E7046">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nsid w:val="783C6E9B"/>
    <w:multiLevelType w:val="multilevel"/>
    <w:tmpl w:val="21A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AE2C51"/>
    <w:multiLevelType w:val="multilevel"/>
    <w:tmpl w:val="965017C4"/>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5">
    <w:nsid w:val="7CAA6A7D"/>
    <w:multiLevelType w:val="hybridMultilevel"/>
    <w:tmpl w:val="1B5634B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6"/>
  </w:num>
  <w:num w:numId="5">
    <w:abstractNumId w:val="7"/>
  </w:num>
  <w:num w:numId="6">
    <w:abstractNumId w:val="1"/>
  </w:num>
  <w:num w:numId="7">
    <w:abstractNumId w:val="19"/>
  </w:num>
  <w:num w:numId="8">
    <w:abstractNumId w:val="6"/>
  </w:num>
  <w:num w:numId="9">
    <w:abstractNumId w:val="0"/>
  </w:num>
  <w:num w:numId="10">
    <w:abstractNumId w:val="27"/>
  </w:num>
  <w:num w:numId="11">
    <w:abstractNumId w:val="35"/>
  </w:num>
  <w:num w:numId="12">
    <w:abstractNumId w:val="32"/>
  </w:num>
  <w:num w:numId="13">
    <w:abstractNumId w:val="10"/>
  </w:num>
  <w:num w:numId="14">
    <w:abstractNumId w:val="13"/>
  </w:num>
  <w:num w:numId="15">
    <w:abstractNumId w:val="24"/>
  </w:num>
  <w:num w:numId="16">
    <w:abstractNumId w:val="33"/>
  </w:num>
  <w:num w:numId="17">
    <w:abstractNumId w:val="15"/>
  </w:num>
  <w:num w:numId="18">
    <w:abstractNumId w:val="21"/>
  </w:num>
  <w:num w:numId="19">
    <w:abstractNumId w:val="17"/>
  </w:num>
  <w:num w:numId="20">
    <w:abstractNumId w:val="8"/>
  </w:num>
  <w:num w:numId="21">
    <w:abstractNumId w:val="18"/>
  </w:num>
  <w:num w:numId="22">
    <w:abstractNumId w:val="25"/>
  </w:num>
  <w:num w:numId="23">
    <w:abstractNumId w:val="12"/>
  </w:num>
  <w:num w:numId="24">
    <w:abstractNumId w:val="26"/>
  </w:num>
  <w:num w:numId="25">
    <w:abstractNumId w:val="29"/>
  </w:num>
  <w:num w:numId="26">
    <w:abstractNumId w:val="30"/>
  </w:num>
  <w:num w:numId="27">
    <w:abstractNumId w:val="20"/>
  </w:num>
  <w:num w:numId="28">
    <w:abstractNumId w:val="28"/>
  </w:num>
  <w:num w:numId="29">
    <w:abstractNumId w:val="2"/>
  </w:num>
  <w:num w:numId="30">
    <w:abstractNumId w:val="23"/>
    <w:lvlOverride w:ilvl="0">
      <w:startOverride w:val="2"/>
    </w:lvlOverride>
  </w:num>
  <w:num w:numId="31">
    <w:abstractNumId w:val="34"/>
  </w:num>
  <w:num w:numId="32">
    <w:abstractNumId w:val="11"/>
  </w:num>
  <w:num w:numId="33">
    <w:abstractNumId w:val="22"/>
  </w:num>
  <w:num w:numId="34">
    <w:abstractNumId w:val="31"/>
  </w:num>
  <w:num w:numId="35">
    <w:abstractNumId w:val="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8C"/>
    <w:rsid w:val="0000297B"/>
    <w:rsid w:val="00183D92"/>
    <w:rsid w:val="002867F8"/>
    <w:rsid w:val="00290BD6"/>
    <w:rsid w:val="00373FC9"/>
    <w:rsid w:val="005B54C5"/>
    <w:rsid w:val="007766B0"/>
    <w:rsid w:val="00845EA1"/>
    <w:rsid w:val="008B0600"/>
    <w:rsid w:val="00A966ED"/>
    <w:rsid w:val="00AE7D0A"/>
    <w:rsid w:val="00B11A61"/>
    <w:rsid w:val="00BD668C"/>
    <w:rsid w:val="00BE3874"/>
    <w:rsid w:val="00C02D2A"/>
    <w:rsid w:val="00C464F8"/>
    <w:rsid w:val="00D1350E"/>
    <w:rsid w:val="00D62E07"/>
    <w:rsid w:val="00D63A4E"/>
    <w:rsid w:val="00DA0C23"/>
    <w:rsid w:val="00DA4195"/>
    <w:rsid w:val="00DE57CE"/>
    <w:rsid w:val="00E13CEC"/>
    <w:rsid w:val="00E434A0"/>
    <w:rsid w:val="00E614F8"/>
    <w:rsid w:val="00E719A5"/>
    <w:rsid w:val="00F4154E"/>
    <w:rsid w:val="00FB697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D668C"/>
    <w:rPr>
      <w:i/>
      <w:iCs/>
    </w:rPr>
  </w:style>
  <w:style w:type="paragraph" w:styleId="Prrafodelista">
    <w:name w:val="List Paragraph"/>
    <w:basedOn w:val="Normal"/>
    <w:uiPriority w:val="34"/>
    <w:qFormat/>
    <w:rsid w:val="00F4154E"/>
    <w:pPr>
      <w:ind w:left="720"/>
      <w:contextualSpacing/>
    </w:pPr>
  </w:style>
  <w:style w:type="character" w:styleId="Textoennegrita">
    <w:name w:val="Strong"/>
    <w:basedOn w:val="Fuentedeprrafopredeter"/>
    <w:uiPriority w:val="22"/>
    <w:qFormat/>
    <w:rsid w:val="00DA4195"/>
    <w:rPr>
      <w:b/>
      <w:bCs/>
    </w:rPr>
  </w:style>
  <w:style w:type="character" w:customStyle="1" w:styleId="hit">
    <w:name w:val="hit"/>
    <w:basedOn w:val="Fuentedeprrafopredeter"/>
    <w:rsid w:val="00DA0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D668C"/>
    <w:rPr>
      <w:i/>
      <w:iCs/>
    </w:rPr>
  </w:style>
  <w:style w:type="paragraph" w:styleId="Prrafodelista">
    <w:name w:val="List Paragraph"/>
    <w:basedOn w:val="Normal"/>
    <w:uiPriority w:val="34"/>
    <w:qFormat/>
    <w:rsid w:val="00F4154E"/>
    <w:pPr>
      <w:ind w:left="720"/>
      <w:contextualSpacing/>
    </w:pPr>
  </w:style>
  <w:style w:type="character" w:styleId="Textoennegrita">
    <w:name w:val="Strong"/>
    <w:basedOn w:val="Fuentedeprrafopredeter"/>
    <w:uiPriority w:val="22"/>
    <w:qFormat/>
    <w:rsid w:val="00DA4195"/>
    <w:rPr>
      <w:b/>
      <w:bCs/>
    </w:rPr>
  </w:style>
  <w:style w:type="character" w:customStyle="1" w:styleId="hit">
    <w:name w:val="hit"/>
    <w:basedOn w:val="Fuentedeprrafopredeter"/>
    <w:rsid w:val="00DA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2908">
      <w:bodyDiv w:val="1"/>
      <w:marLeft w:val="0"/>
      <w:marRight w:val="0"/>
      <w:marTop w:val="0"/>
      <w:marBottom w:val="0"/>
      <w:divBdr>
        <w:top w:val="none" w:sz="0" w:space="0" w:color="auto"/>
        <w:left w:val="none" w:sz="0" w:space="0" w:color="auto"/>
        <w:bottom w:val="none" w:sz="0" w:space="0" w:color="auto"/>
        <w:right w:val="none" w:sz="0" w:space="0" w:color="auto"/>
      </w:divBdr>
    </w:div>
    <w:div w:id="1404833559">
      <w:bodyDiv w:val="1"/>
      <w:marLeft w:val="0"/>
      <w:marRight w:val="0"/>
      <w:marTop w:val="0"/>
      <w:marBottom w:val="0"/>
      <w:divBdr>
        <w:top w:val="none" w:sz="0" w:space="0" w:color="auto"/>
        <w:left w:val="none" w:sz="0" w:space="0" w:color="auto"/>
        <w:bottom w:val="none" w:sz="0" w:space="0" w:color="auto"/>
        <w:right w:val="none" w:sz="0" w:space="0" w:color="auto"/>
      </w:divBdr>
    </w:div>
    <w:div w:id="21062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1262</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Saud</dc:creator>
  <cp:lastModifiedBy>Andrea Saud</cp:lastModifiedBy>
  <cp:revision>3</cp:revision>
  <cp:lastPrinted>2016-09-06T22:54:00Z</cp:lastPrinted>
  <dcterms:created xsi:type="dcterms:W3CDTF">2016-12-23T23:15:00Z</dcterms:created>
  <dcterms:modified xsi:type="dcterms:W3CDTF">2016-12-23T23:22:00Z</dcterms:modified>
</cp:coreProperties>
</file>