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8B73A0">
        <w:rPr>
          <w:rFonts w:asciiTheme="minorHAnsi" w:eastAsia="Times New Roman" w:hAnsiTheme="minorHAnsi"/>
          <w:b/>
          <w:bCs/>
          <w:sz w:val="24"/>
          <w:szCs w:val="24"/>
          <w:lang w:eastAsia="es-EC"/>
        </w:rPr>
        <w:t>005</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DE MANTENIMIENTO</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productos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3F3A33" w:rsidRPr="00415CDB">
        <w:rPr>
          <w:rFonts w:asciiTheme="minorHAnsi" w:eastAsia="Times New Roman" w:hAnsiTheme="minorHAnsi"/>
          <w:sz w:val="20"/>
          <w:szCs w:val="20"/>
          <w:lang w:eastAsia="es-EC"/>
        </w:rPr>
        <w:t>Forma de 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2B32D5" w:rsidRPr="00415CDB" w:rsidRDefault="00A95475" w:rsidP="0031081C">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31081C">
      <w:pPr>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C44EFD" w:rsidRDefault="00C44EFD">
      <w:pPr>
        <w:rPr>
          <w:rFonts w:asciiTheme="minorHAnsi" w:eastAsia="Times New Roman" w:hAnsiTheme="minorHAnsi"/>
          <w:b/>
          <w:bCs/>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8B73A0">
        <w:rPr>
          <w:rFonts w:asciiTheme="minorHAnsi" w:eastAsia="Times New Roman" w:hAnsiTheme="minorHAnsi"/>
          <w:b/>
          <w:bCs/>
          <w:lang w:eastAsia="es-EC"/>
        </w:rPr>
        <w:t>005</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w:t>
      </w:r>
      <w:r w:rsidR="00F163B0">
        <w:rPr>
          <w:rFonts w:asciiTheme="minorHAnsi" w:eastAsia="Times New Roman" w:hAnsiTheme="minorHAnsi"/>
          <w:lang w:eastAsia="es-EC"/>
        </w:rPr>
        <w:t>n</w:t>
      </w:r>
      <w:r w:rsidR="00A5642F">
        <w:rPr>
          <w:rFonts w:asciiTheme="minorHAnsi" w:eastAsia="Times New Roman" w:hAnsiTheme="minorHAnsi"/>
          <w:lang w:eastAsia="es-EC"/>
        </w:rPr>
        <w:t xml:space="preserve">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E2053A">
        <w:rPr>
          <w:rFonts w:asciiTheme="minorHAnsi" w:eastAsia="Times New Roman" w:hAnsiTheme="minorHAnsi"/>
          <w:lang w:eastAsia="es-EC"/>
        </w:rPr>
        <w:t>Pichincha Universal, frecuencia 95.3</w:t>
      </w:r>
      <w:r w:rsidR="00F163B0">
        <w:rPr>
          <w:rFonts w:asciiTheme="minorHAnsi" w:eastAsia="Times New Roman" w:hAnsiTheme="minorHAnsi"/>
          <w:lang w:eastAsia="es-EC"/>
        </w:rPr>
        <w:t xml:space="preserve"> FM, en el programa “</w:t>
      </w:r>
      <w:r w:rsidR="00E2053A">
        <w:rPr>
          <w:rFonts w:asciiTheme="minorHAnsi" w:eastAsia="Times New Roman" w:hAnsiTheme="minorHAnsi"/>
          <w:lang w:eastAsia="es-EC"/>
        </w:rPr>
        <w:t>Noticiero Punto Noticias</w:t>
      </w:r>
      <w:r w:rsidR="00F163B0">
        <w:rPr>
          <w:rFonts w:asciiTheme="minorHAnsi" w:eastAsia="Times New Roman" w:hAnsiTheme="minorHAnsi"/>
          <w:lang w:eastAsia="es-EC"/>
        </w:rPr>
        <w:t xml:space="preserve">”, en la transmisión del día jueves 28 de enero de 2016, en el horario de </w:t>
      </w:r>
      <w:r w:rsidR="00E2053A">
        <w:rPr>
          <w:rFonts w:asciiTheme="minorHAnsi" w:eastAsia="Times New Roman" w:hAnsiTheme="minorHAnsi"/>
          <w:lang w:eastAsia="es-EC"/>
        </w:rPr>
        <w:t>07h25</w:t>
      </w:r>
      <w:r w:rsidR="00F163B0">
        <w:rPr>
          <w:rFonts w:asciiTheme="minorHAnsi" w:eastAsia="Times New Roman" w:hAnsiTheme="minorHAnsi"/>
          <w:lang w:eastAsia="es-EC"/>
        </w:rPr>
        <w:t xml:space="preserve">,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 MANTENIMIENTO</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w:t>
      </w:r>
      <w:r w:rsidR="00844823" w:rsidRPr="00A8044E">
        <w:rPr>
          <w:rFonts w:asciiTheme="minorHAnsi" w:eastAsia="Times New Roman" w:hAnsiTheme="minorHAnsi"/>
          <w:lang w:eastAsia="es-EC"/>
        </w:rPr>
        <w:t>específico</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287F54" w:rsidRPr="000E631E" w:rsidTr="00581DCE">
        <w:trPr>
          <w:trHeight w:val="267"/>
          <w:jc w:val="center"/>
        </w:trPr>
        <w:tc>
          <w:tcPr>
            <w:tcW w:w="4454"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F941F1" w:rsidRPr="000E631E" w:rsidTr="00F941F1">
        <w:trPr>
          <w:trHeight w:val="238"/>
          <w:jc w:val="center"/>
        </w:trPr>
        <w:tc>
          <w:tcPr>
            <w:tcW w:w="4454" w:type="dxa"/>
            <w:vAlign w:val="center"/>
          </w:tcPr>
          <w:p w:rsidR="00F941F1" w:rsidRPr="00A806B8" w:rsidRDefault="00F941F1" w:rsidP="00F941F1">
            <w:r w:rsidRPr="00A806B8">
              <w:t>Publicación y convocatoria:</w:t>
            </w:r>
          </w:p>
        </w:tc>
        <w:tc>
          <w:tcPr>
            <w:tcW w:w="2977" w:type="dxa"/>
            <w:vAlign w:val="center"/>
          </w:tcPr>
          <w:p w:rsidR="00F941F1" w:rsidRPr="00A806B8" w:rsidRDefault="00F941F1" w:rsidP="00F941F1">
            <w:r w:rsidRPr="00A806B8">
              <w:t>05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Socialización:</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34"/>
          <w:jc w:val="center"/>
        </w:trPr>
        <w:tc>
          <w:tcPr>
            <w:tcW w:w="4454" w:type="dxa"/>
            <w:vAlign w:val="center"/>
          </w:tcPr>
          <w:p w:rsidR="00F941F1" w:rsidRPr="00A806B8" w:rsidRDefault="00F941F1" w:rsidP="00F941F1">
            <w:r w:rsidRPr="00A806B8">
              <w:t>Periodo de preguntas, respuestas y aclaraciones (Fecha límite):</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Recepción de ofertas (Documentación para la adhesión a las especificaciones técnicas y condiciones económicas):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F941F1">
            <w:r>
              <w:t>16</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Apertura de Ofertas: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6C3222">
            <w:r>
              <w:t>17</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Evaluación de ofertas:</w:t>
            </w:r>
          </w:p>
        </w:tc>
        <w:tc>
          <w:tcPr>
            <w:tcW w:w="2977" w:type="dxa"/>
            <w:vAlign w:val="center"/>
          </w:tcPr>
          <w:p w:rsidR="00F941F1" w:rsidRPr="00A806B8" w:rsidRDefault="00F941F1" w:rsidP="00F941F1">
            <w:r w:rsidRPr="00A806B8">
              <w:t>22 de febrero de 2016</w:t>
            </w:r>
          </w:p>
        </w:tc>
        <w:tc>
          <w:tcPr>
            <w:tcW w:w="910" w:type="dxa"/>
            <w:vAlign w:val="center"/>
          </w:tcPr>
          <w:p w:rsidR="00F941F1" w:rsidRPr="00A806B8" w:rsidRDefault="00F941F1" w:rsidP="00F941F1">
            <w:r w:rsidRPr="00A806B8">
              <w:t>17:00</w:t>
            </w:r>
          </w:p>
        </w:tc>
      </w:tr>
      <w:tr w:rsidR="00F941F1" w:rsidRPr="000E631E" w:rsidTr="00F941F1">
        <w:trPr>
          <w:trHeight w:val="269"/>
          <w:jc w:val="center"/>
        </w:trPr>
        <w:tc>
          <w:tcPr>
            <w:tcW w:w="4454" w:type="dxa"/>
            <w:vAlign w:val="center"/>
          </w:tcPr>
          <w:p w:rsidR="00F941F1" w:rsidRPr="00A806B8" w:rsidRDefault="00F941F1" w:rsidP="00F941F1">
            <w:r w:rsidRPr="00A806B8">
              <w:t>Fecha estimada de catalogación:</w:t>
            </w:r>
          </w:p>
        </w:tc>
        <w:tc>
          <w:tcPr>
            <w:tcW w:w="2977" w:type="dxa"/>
            <w:vAlign w:val="center"/>
          </w:tcPr>
          <w:p w:rsidR="00F941F1" w:rsidRPr="00A806B8" w:rsidRDefault="00F941F1" w:rsidP="00F941F1">
            <w:r w:rsidRPr="00A806B8">
              <w:t>24 de febrero de 2016</w:t>
            </w:r>
          </w:p>
        </w:tc>
        <w:tc>
          <w:tcPr>
            <w:tcW w:w="910" w:type="dxa"/>
            <w:vAlign w:val="center"/>
          </w:tcPr>
          <w:p w:rsidR="00F941F1" w:rsidRDefault="00F941F1" w:rsidP="00F941F1">
            <w:r w:rsidRPr="00A806B8">
              <w:t>17:00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2A5075"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Este procedimiento de selección de proveedores se regirá por la Ley Orgánica del Sistema Nacional de Contratación Pública, su Reglamento General, la normativa emitida por el SERCOP 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D.M. Quito, 05</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497251" w:rsidRPr="00EB2B84" w:rsidRDefault="00431077" w:rsidP="00EB2B84">
      <w:pPr>
        <w:spacing w:after="0" w:line="240" w:lineRule="auto"/>
        <w:jc w:val="both"/>
        <w:rPr>
          <w:rFonts w:asciiTheme="minorHAnsi" w:eastAsia="Times New Roman" w:hAnsiTheme="minorHAnsi"/>
          <w:lang w:val="es-ES" w:eastAsia="es-EC"/>
        </w:rPr>
      </w:pPr>
      <w:r>
        <w:rPr>
          <w:rFonts w:asciiTheme="minorHAnsi" w:eastAsia="Times New Roman" w:hAnsiTheme="minorHAnsi"/>
          <w:lang w:val="es-ES" w:eastAsia="es-EC"/>
        </w:rPr>
        <w:t xml:space="preserve">- </w:t>
      </w:r>
      <w:r w:rsidR="005175A1">
        <w:rPr>
          <w:rFonts w:asciiTheme="minorHAnsi" w:eastAsia="Times New Roman" w:hAnsiTheme="minorHAnsi"/>
          <w:lang w:val="es-ES" w:eastAsia="es-EC"/>
        </w:rPr>
        <w:t xml:space="preserve">En caso de que existan bienes resultantes de la prestación del servicio se solicitará una </w:t>
      </w:r>
      <w:r>
        <w:rPr>
          <w:rFonts w:asciiTheme="minorHAnsi" w:eastAsia="Times New Roman" w:hAnsiTheme="minorHAnsi"/>
          <w:lang w:val="es-ES" w:eastAsia="es-EC"/>
        </w:rPr>
        <w:t>garantía técnica que cubre el 100% de los bienes con daños o alteraciones ocasionados por</w:t>
      </w:r>
      <w:r w:rsidR="00497251">
        <w:rPr>
          <w:rFonts w:asciiTheme="minorHAnsi" w:eastAsia="Times New Roman" w:hAnsiTheme="minorHAnsi"/>
          <w:lang w:val="es-ES" w:eastAsia="es-EC"/>
        </w:rPr>
        <w:t xml:space="preserve"> incumplimiento de los términos de referencia durante la prestación del servicio, </w:t>
      </w:r>
      <w:r w:rsidR="00497251" w:rsidRPr="00EB2B84">
        <w:rPr>
          <w:rFonts w:asciiTheme="minorHAnsi" w:eastAsia="Times New Roman" w:hAnsiTheme="minorHAnsi"/>
          <w:lang w:val="es-ES" w:eastAsia="es-EC"/>
        </w:rPr>
        <w:t xml:space="preserve">embalaje, manipulación, mala calidad de los materiales o componentes empleados en el mismo. </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w:t>
      </w:r>
      <w:r w:rsidR="00F14E16">
        <w:rPr>
          <w:rFonts w:asciiTheme="minorHAnsi" w:eastAsia="Times New Roman" w:hAnsiTheme="minorHAnsi"/>
          <w:lang w:val="es-ES" w:eastAsia="es-EC"/>
        </w:rPr>
        <w:t>servicio</w:t>
      </w:r>
      <w:r w:rsidR="00F14E16" w:rsidRPr="0002135D">
        <w:rPr>
          <w:rFonts w:asciiTheme="minorHAnsi" w:eastAsia="Times New Roman" w:hAnsiTheme="minorHAnsi"/>
          <w:lang w:val="es-ES" w:eastAsia="es-EC"/>
        </w:rPr>
        <w:t xml:space="preserve">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las razones por la cual solicita la aplicación de la garantía técnica. Aprobado el informe, éste deberá ser notificado formalmente al proveedor, día a partir del cual empezará a correr el término para sustitución del </w:t>
      </w:r>
      <w:r w:rsidR="00E24B3F">
        <w:rPr>
          <w:rFonts w:asciiTheme="minorHAnsi" w:eastAsia="Times New Roman" w:hAnsiTheme="minorHAnsi"/>
          <w:lang w:eastAsia="es-EC"/>
        </w:rPr>
        <w:t>bien afectado</w:t>
      </w:r>
      <w:r w:rsidR="00EB2B84">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DE MANTENIMIENTO</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bienes producto 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xml:space="preserve">, será en la dirección que indique la entidad contratante, dentro del área de intervención determinada en la ficha de producto específico o de la provincia donde se encuentre domiciliado el proveedor catalogado, salvo el caso en que por requerimiento de la entidad contratante, previa aceptación del proveedor, deba entregarse los bienes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bienes 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bienes 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Garantizar que la prestación del servicio, se realizará en óptimas condiciones, según los términos de referencia contenidos en la ficha del producto específico.</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Prestar el servicio en los plazos previstos por la entidad contratante o según cronograma establecido de mutuo acuerdo; y, conformidad con lo determinado en la ficha técnica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bienes 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el bien producto del</w:t>
      </w:r>
      <w:r w:rsidRPr="00D57081">
        <w:rPr>
          <w:rFonts w:asciiTheme="minorHAnsi" w:eastAsia="Times New Roman" w:hAnsiTheme="minorHAnsi"/>
          <w:lang w:eastAsia="es-EC"/>
        </w:rPr>
        <w:t xml:space="preserve"> 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sea entregado en óptimas condiciones, de conformidad con lo establecido en la ficha del producto 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bienes producto de este 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CE28C3">
        <w:rPr>
          <w:rFonts w:asciiTheme="minorHAnsi" w:hAnsiTheme="minorHAnsi"/>
          <w:b w:val="0"/>
          <w:bCs w:val="0"/>
          <w:color w:val="000000"/>
          <w:sz w:val="22"/>
          <w:szCs w:val="22"/>
        </w:rPr>
        <w:t>producto</w:t>
      </w:r>
      <w:r w:rsidR="00375D03" w:rsidRPr="00D92870">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entrega parcial de</w:t>
      </w:r>
      <w:r w:rsidR="00486380" w:rsidRPr="000E001F">
        <w:rPr>
          <w:rFonts w:asciiTheme="minorHAnsi" w:eastAsia="Times New Roman" w:hAnsiTheme="minorHAnsi"/>
          <w:lang w:eastAsia="es-EC"/>
        </w:rPr>
        <w:t>l bien resultante 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de conformidad con la capacidad productiva o de prestación del servicio declarada por el fabricante, o determinada como máxima en la ficha del producto 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bien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en el término máximo de 48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8B73A0">
              <w:rPr>
                <w:rFonts w:asciiTheme="minorHAnsi" w:eastAsia="Times New Roman" w:hAnsiTheme="minorHAnsi"/>
                <w:b/>
                <w:bCs/>
                <w:lang w:eastAsia="es-EC"/>
              </w:rPr>
              <w:t>005</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mínimo requerido u ofertado para 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5175A1">
        <w:rPr>
          <w:rFonts w:asciiTheme="minorHAnsi" w:hAnsiTheme="minorHAnsi"/>
          <w:b w:val="0"/>
          <w:bCs w:val="0"/>
          <w:kern w:val="0"/>
          <w:sz w:val="22"/>
          <w:szCs w:val="22"/>
        </w:rPr>
        <w:t xml:space="preserve">producto </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8B73A0">
        <w:rPr>
          <w:rFonts w:asciiTheme="minorHAnsi" w:eastAsia="Times New Roman" w:hAnsiTheme="minorHAnsi"/>
          <w:b/>
          <w:bCs/>
          <w:lang w:eastAsia="es-EC"/>
        </w:rPr>
        <w:t>005</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8B73A0">
        <w:rPr>
          <w:rFonts w:asciiTheme="minorHAnsi" w:eastAsia="Times New Roman" w:hAnsiTheme="minorHAnsi"/>
          <w:b/>
          <w:lang w:eastAsia="es-EC"/>
        </w:rPr>
        <w:t>005</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productos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sidR="00E64371">
              <w:rPr>
                <w:rFonts w:asciiTheme="minorHAnsi" w:eastAsia="Times New Roman" w:hAnsiTheme="minorHAnsi"/>
              </w:rPr>
              <w:t xml:space="preserve">los términos de referencia </w:t>
            </w:r>
            <w:r w:rsidRPr="00A8044E">
              <w:rPr>
                <w:rFonts w:asciiTheme="minorHAnsi" w:eastAsia="Times New Roman" w:hAnsiTheme="minorHAnsi"/>
              </w:rPr>
              <w:t>y condiciones económ</w:t>
            </w:r>
            <w:r w:rsidR="00F0017A">
              <w:rPr>
                <w:rFonts w:asciiTheme="minorHAnsi" w:eastAsia="Times New Roman" w:hAnsiTheme="minorHAnsi"/>
              </w:rPr>
              <w:t>icas previstas en el pliego y en las fichas técnicas del producto 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F0017A">
              <w:rPr>
                <w:rFonts w:asciiTheme="minorHAnsi" w:eastAsia="Times New Roman" w:hAnsiTheme="minorHAnsi"/>
              </w:rPr>
              <w:t>producto</w:t>
            </w:r>
            <w:r w:rsidR="002600FF">
              <w:rPr>
                <w:rFonts w:asciiTheme="minorHAnsi" w:eastAsia="Times New Roman" w:hAnsiTheme="minorHAnsi"/>
              </w:rPr>
              <w:t>s a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Provedor/a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8B73A0">
        <w:rPr>
          <w:rFonts w:asciiTheme="minorHAnsi" w:eastAsiaTheme="minorHAnsi" w:hAnsiTheme="minorHAnsi" w:cs="Calibri"/>
          <w:color w:val="000000"/>
        </w:rPr>
        <w:t>005</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8B73A0">
              <w:rPr>
                <w:rFonts w:asciiTheme="minorHAnsi" w:eastAsiaTheme="minorHAnsi" w:hAnsiTheme="minorHAnsi" w:cs="Calibri"/>
                <w:b/>
                <w:color w:val="000000"/>
              </w:rPr>
              <w:t>005</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w:t>
            </w:r>
            <w:r w:rsidR="009E2189">
              <w:rPr>
                <w:rFonts w:asciiTheme="minorHAnsi" w:hAnsiTheme="minorHAnsi" w:cs="Calibri"/>
                <w:color w:val="000000"/>
              </w:rPr>
              <w:t>servicio)</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recibido cumpla con los términos de referencia o especificaciones técnicas establecidas en la ficha del producto específico.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w:t>
            </w:r>
            <w:r w:rsidR="001F7556">
              <w:rPr>
                <w:rFonts w:asciiTheme="minorHAnsi" w:eastAsia="Times New Roman" w:hAnsiTheme="minorHAnsi"/>
                <w:b/>
                <w:bCs/>
                <w:lang w:eastAsia="es-EC"/>
              </w:rPr>
              <w:t>SERVICIOS</w:t>
            </w:r>
            <w:r w:rsidR="00AB200B">
              <w:rPr>
                <w:rFonts w:asciiTheme="minorHAnsi" w:eastAsia="Times New Roman" w:hAnsiTheme="minorHAnsi"/>
                <w:b/>
                <w:bCs/>
                <w:lang w:eastAsia="es-EC"/>
              </w:rPr>
              <w:t xml:space="preserve"> (en caso de que exista un bien resultante de la prestación del servicio) </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xml:space="preserve">, en atención a la convocatoria para la provisión del </w:t>
            </w:r>
            <w:r w:rsidR="003E7151">
              <w:rPr>
                <w:rFonts w:asciiTheme="minorHAnsi" w:hAnsiTheme="minorHAnsi" w:cstheme="minorHAnsi"/>
                <w:color w:val="auto"/>
                <w:sz w:val="22"/>
                <w:szCs w:val="22"/>
              </w:rPr>
              <w:t>servicio</w:t>
            </w:r>
            <w:r w:rsidRPr="00A8044E">
              <w:rPr>
                <w:rFonts w:asciiTheme="minorHAnsi" w:hAnsiTheme="minorHAnsi" w:cstheme="minorHAnsi"/>
                <w:color w:val="auto"/>
                <w:sz w:val="22"/>
                <w:szCs w:val="22"/>
              </w:rPr>
              <w:t>, objeto del procedimiento</w:t>
            </w:r>
            <w:r w:rsidR="00423508" w:rsidRPr="00A8044E">
              <w:rPr>
                <w:rFonts w:asciiTheme="minorHAnsi" w:hAnsiTheme="minorHAnsi" w:cstheme="minorHAnsi"/>
                <w:color w:val="auto"/>
                <w:sz w:val="22"/>
                <w:szCs w:val="22"/>
              </w:rPr>
              <w:t xml:space="preserve"> “CDI-SERCOP-</w:t>
            </w:r>
            <w:r w:rsidR="008B73A0">
              <w:rPr>
                <w:rFonts w:asciiTheme="minorHAnsi" w:hAnsiTheme="minorHAnsi" w:cstheme="minorHAnsi"/>
                <w:color w:val="auto"/>
                <w:sz w:val="22"/>
                <w:szCs w:val="22"/>
              </w:rPr>
              <w:t>005</w:t>
            </w:r>
            <w:r w:rsidR="00455429" w:rsidRPr="00815B7F">
              <w:rPr>
                <w:rFonts w:asciiTheme="minorHAnsi" w:hAnsiTheme="minorHAnsi" w:cstheme="minorHAnsi"/>
                <w:color w:val="auto"/>
                <w:sz w:val="22"/>
                <w:szCs w:val="22"/>
              </w:rPr>
              <w:t>-</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3E7151" w:rsidRDefault="003E7151"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Pr>
                <w:rFonts w:asciiTheme="minorHAnsi" w:eastAsia="Times New Roman" w:hAnsiTheme="minorHAnsi" w:cs="Calibri"/>
                <w:color w:val="auto"/>
                <w:sz w:val="22"/>
                <w:szCs w:val="22"/>
              </w:rPr>
              <w:t xml:space="preserve">La provisión de todos los servicios </w:t>
            </w:r>
            <w:r w:rsidR="00AB200B">
              <w:rPr>
                <w:rFonts w:asciiTheme="minorHAnsi" w:eastAsia="Times New Roman" w:hAnsiTheme="minorHAnsi" w:cs="Calibri"/>
                <w:color w:val="auto"/>
                <w:sz w:val="22"/>
                <w:szCs w:val="22"/>
              </w:rPr>
              <w:t>ofertados se regirán bajo</w:t>
            </w:r>
            <w:r w:rsidR="00973D46">
              <w:rPr>
                <w:rFonts w:asciiTheme="minorHAnsi" w:eastAsia="Times New Roman" w:hAnsiTheme="minorHAnsi" w:cs="Calibri"/>
                <w:color w:val="auto"/>
                <w:sz w:val="22"/>
                <w:szCs w:val="22"/>
              </w:rPr>
              <w:t xml:space="preserve"> las condiciones y términos establecidos en el presente pliego</w:t>
            </w:r>
            <w:r w:rsidR="00447324">
              <w:rPr>
                <w:rFonts w:asciiTheme="minorHAnsi" w:eastAsia="Times New Roman" w:hAnsiTheme="minorHAnsi" w:cs="Calibri"/>
                <w:color w:val="auto"/>
                <w:sz w:val="22"/>
                <w:szCs w:val="22"/>
              </w:rPr>
              <w:t xml:space="preserve"> </w:t>
            </w:r>
            <w:r w:rsidR="00973D46">
              <w:rPr>
                <w:rFonts w:asciiTheme="minorHAnsi" w:eastAsia="Times New Roman" w:hAnsiTheme="minorHAnsi" w:cs="Calibri"/>
                <w:color w:val="auto"/>
                <w:sz w:val="22"/>
                <w:szCs w:val="22"/>
              </w:rPr>
              <w:t>y descritos en las correspondientes fichas técnicas</w:t>
            </w:r>
            <w:r w:rsidR="00281B89">
              <w:rPr>
                <w:rFonts w:asciiTheme="minorHAnsi" w:eastAsia="Times New Roman" w:hAnsiTheme="minorHAnsi" w:cs="Calibri"/>
                <w:color w:val="auto"/>
                <w:sz w:val="22"/>
                <w:szCs w:val="22"/>
              </w:rPr>
              <w:t>. En consecuencia en mi calidad de proveedor:</w:t>
            </w:r>
            <w:r w:rsidR="00973D46">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00AB200B">
              <w:rPr>
                <w:rFonts w:asciiTheme="minorHAnsi" w:eastAsia="Times New Roman" w:hAnsiTheme="minorHAnsi" w:cs="Calibri"/>
                <w:color w:val="auto"/>
                <w:sz w:val="22"/>
                <w:szCs w:val="22"/>
              </w:rPr>
              <w:t xml:space="preserve">bienes resultantes del </w:t>
            </w:r>
            <w:r w:rsidR="00AB200B">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00AB200B">
              <w:rPr>
                <w:rFonts w:asciiTheme="minorHAnsi" w:eastAsia="Times New Roman" w:hAnsiTheme="minorHAnsi" w:cstheme="minorHAnsi"/>
                <w:color w:val="auto"/>
                <w:sz w:val="22"/>
                <w:szCs w:val="22"/>
              </w:rPr>
              <w:t>entregado</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w:t>
            </w:r>
            <w:r w:rsidR="00AB200B">
              <w:rPr>
                <w:rFonts w:asciiTheme="minorHAnsi" w:eastAsia="Times New Roman" w:hAnsiTheme="minorHAnsi" w:cs="Calibri"/>
                <w:color w:val="auto"/>
                <w:sz w:val="22"/>
                <w:szCs w:val="22"/>
              </w:rPr>
              <w:t xml:space="preserve">y términos de referencia </w:t>
            </w:r>
            <w:r w:rsidRPr="00A8044E">
              <w:rPr>
                <w:rFonts w:asciiTheme="minorHAnsi" w:eastAsia="Times New Roman" w:hAnsiTheme="minorHAnsi" w:cs="Calibri"/>
                <w:color w:val="auto"/>
                <w:sz w:val="22"/>
                <w:szCs w:val="22"/>
              </w:rPr>
              <w:t xml:space="preserve">que constan en la ficha técnica </w:t>
            </w:r>
            <w:r w:rsidRPr="00A8044E">
              <w:rPr>
                <w:rFonts w:asciiTheme="minorHAnsi" w:eastAsia="Times New Roman" w:hAnsiTheme="minorHAnsi" w:cstheme="minorHAnsi"/>
                <w:color w:val="auto"/>
                <w:sz w:val="22"/>
                <w:szCs w:val="22"/>
              </w:rPr>
              <w:t xml:space="preserve">del </w:t>
            </w:r>
            <w:r w:rsidR="003E7151">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theme="minorHAnsi"/>
                <w:color w:val="auto"/>
                <w:sz w:val="22"/>
                <w:szCs w:val="22"/>
              </w:rPr>
              <w:t xml:space="preserve">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 xml:space="preserve">i la Entidad Contratante solicitare </w:t>
            </w:r>
            <w:r w:rsidR="00700245">
              <w:rPr>
                <w:rFonts w:asciiTheme="minorHAnsi" w:eastAsia="Times New Roman" w:hAnsiTheme="minorHAnsi" w:cs="Calibri"/>
                <w:color w:val="auto"/>
                <w:sz w:val="22"/>
                <w:szCs w:val="22"/>
              </w:rPr>
              <w:t xml:space="preserve">la reposición del (de los) bien(es) o equipo(s) </w:t>
            </w:r>
            <w:r w:rsidRPr="00455429">
              <w:rPr>
                <w:rFonts w:asciiTheme="minorHAnsi" w:eastAsia="Times New Roman" w:hAnsiTheme="minorHAnsi" w:cs="Calibri"/>
                <w:color w:val="auto"/>
                <w:sz w:val="22"/>
                <w:szCs w:val="22"/>
              </w:rPr>
              <w:t xml:space="preserve">debido a un daño o defecto </w:t>
            </w:r>
            <w:r w:rsidR="00EB6E7F">
              <w:rPr>
                <w:rFonts w:asciiTheme="minorHAnsi" w:eastAsia="Times New Roman" w:hAnsiTheme="minorHAnsi" w:cs="Calibri"/>
                <w:color w:val="auto"/>
                <w:sz w:val="22"/>
                <w:szCs w:val="22"/>
              </w:rPr>
              <w:t>al</w:t>
            </w:r>
            <w:r w:rsidR="0096095A">
              <w:rPr>
                <w:rFonts w:asciiTheme="minorHAnsi" w:eastAsia="Times New Roman" w:hAnsiTheme="minorHAnsi" w:cs="Calibri"/>
                <w:color w:val="auto"/>
                <w:sz w:val="22"/>
                <w:szCs w:val="22"/>
              </w:rPr>
              <w:t xml:space="preserve"> momento de la provisión del servicio</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w:t>
            </w:r>
            <w:r w:rsidR="0044568D">
              <w:rPr>
                <w:rFonts w:asciiTheme="minorHAnsi" w:hAnsiTheme="minorHAnsi"/>
                <w:spacing w:val="-3"/>
              </w:rPr>
              <w:t>los clientes del servicio</w:t>
            </w:r>
            <w:r w:rsidR="002A30D5">
              <w:rPr>
                <w:rFonts w:asciiTheme="minorHAnsi" w:hAnsiTheme="minorHAnsi"/>
                <w:spacing w:val="-3"/>
              </w:rPr>
              <w:t xml:space="preserve"> por la entidad contratante</w:t>
            </w:r>
            <w:r w:rsidR="0044568D">
              <w:rPr>
                <w:rFonts w:asciiTheme="minorHAnsi" w:hAnsiTheme="minorHAnsi"/>
                <w:spacing w:val="-3"/>
              </w:rPr>
              <w:t>.</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w:t>
            </w:r>
            <w:r w:rsidR="00891D3A">
              <w:rPr>
                <w:rFonts w:asciiTheme="minorHAnsi" w:hAnsiTheme="minorHAnsi"/>
                <w:sz w:val="22"/>
                <w:szCs w:val="22"/>
              </w:rPr>
              <w:t>servicio</w:t>
            </w:r>
            <w:r w:rsidR="00891D3A" w:rsidRPr="00A8044E">
              <w:rPr>
                <w:rFonts w:asciiTheme="minorHAnsi" w:hAnsiTheme="minorHAnsi"/>
                <w:sz w:val="22"/>
                <w:szCs w:val="22"/>
              </w:rPr>
              <w:t xml:space="preserve"> </w:t>
            </w:r>
            <w:r w:rsidR="001024E9" w:rsidRPr="00A8044E">
              <w:rPr>
                <w:rFonts w:asciiTheme="minorHAnsi" w:hAnsiTheme="minorHAnsi"/>
                <w:sz w:val="22"/>
                <w:szCs w:val="22"/>
              </w:rPr>
              <w:t xml:space="preserve">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FI),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075" w:rsidRDefault="002A5075">
      <w:pPr>
        <w:spacing w:after="0" w:line="240" w:lineRule="auto"/>
      </w:pPr>
      <w:r>
        <w:separator/>
      </w:r>
    </w:p>
  </w:endnote>
  <w:endnote w:type="continuationSeparator" w:id="0">
    <w:p w:rsidR="002A5075" w:rsidRDefault="002A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6C3222" w:rsidRDefault="006C3222">
        <w:pPr>
          <w:pStyle w:val="Piedepgina"/>
          <w:jc w:val="right"/>
        </w:pPr>
        <w:r>
          <w:fldChar w:fldCharType="begin"/>
        </w:r>
        <w:r>
          <w:instrText>PAGE   \* MERGEFORMAT</w:instrText>
        </w:r>
        <w:r>
          <w:fldChar w:fldCharType="separate"/>
        </w:r>
        <w:r w:rsidR="00AD05E1" w:rsidRPr="00AD05E1">
          <w:rPr>
            <w:noProof/>
            <w:lang w:val="es-ES"/>
          </w:rPr>
          <w:t>1</w:t>
        </w:r>
        <w:r>
          <w:fldChar w:fldCharType="end"/>
        </w:r>
      </w:p>
    </w:sdtContent>
  </w:sdt>
  <w:p w:rsidR="006C3222" w:rsidRDefault="006C3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075" w:rsidRDefault="002A5075">
      <w:pPr>
        <w:spacing w:after="0" w:line="240" w:lineRule="auto"/>
      </w:pPr>
      <w:r>
        <w:separator/>
      </w:r>
    </w:p>
  </w:footnote>
  <w:footnote w:type="continuationSeparator" w:id="0">
    <w:p w:rsidR="002A5075" w:rsidRDefault="002A5075">
      <w:pPr>
        <w:spacing w:after="0" w:line="240" w:lineRule="auto"/>
      </w:pPr>
      <w:r>
        <w:continuationSeparator/>
      </w:r>
    </w:p>
  </w:footnote>
  <w:footnote w:id="1">
    <w:p w:rsidR="006C3222" w:rsidRDefault="006C3222"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22" w:rsidRDefault="006C3222">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41E66"/>
    <w:rsid w:val="00054A0B"/>
    <w:rsid w:val="0006094D"/>
    <w:rsid w:val="00071C21"/>
    <w:rsid w:val="00080F77"/>
    <w:rsid w:val="00083E6B"/>
    <w:rsid w:val="00096D26"/>
    <w:rsid w:val="000B4232"/>
    <w:rsid w:val="000B76AB"/>
    <w:rsid w:val="000E001F"/>
    <w:rsid w:val="000E1D70"/>
    <w:rsid w:val="000E631E"/>
    <w:rsid w:val="000F352B"/>
    <w:rsid w:val="000F4665"/>
    <w:rsid w:val="000F6BA5"/>
    <w:rsid w:val="001024E9"/>
    <w:rsid w:val="00103B82"/>
    <w:rsid w:val="0011697B"/>
    <w:rsid w:val="00123C48"/>
    <w:rsid w:val="00134E00"/>
    <w:rsid w:val="00143392"/>
    <w:rsid w:val="00145D5E"/>
    <w:rsid w:val="00150ADD"/>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31F97"/>
    <w:rsid w:val="002445AE"/>
    <w:rsid w:val="00251CFE"/>
    <w:rsid w:val="00255207"/>
    <w:rsid w:val="00257B9F"/>
    <w:rsid w:val="002600FF"/>
    <w:rsid w:val="002647AE"/>
    <w:rsid w:val="00281B89"/>
    <w:rsid w:val="00285AC4"/>
    <w:rsid w:val="00287F54"/>
    <w:rsid w:val="002A2D68"/>
    <w:rsid w:val="002A30D5"/>
    <w:rsid w:val="002A5075"/>
    <w:rsid w:val="002A5847"/>
    <w:rsid w:val="002B32D5"/>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696"/>
    <w:rsid w:val="00342FDE"/>
    <w:rsid w:val="0035409A"/>
    <w:rsid w:val="00361099"/>
    <w:rsid w:val="003655F7"/>
    <w:rsid w:val="00373555"/>
    <w:rsid w:val="00375D03"/>
    <w:rsid w:val="0039268A"/>
    <w:rsid w:val="00396628"/>
    <w:rsid w:val="003A3872"/>
    <w:rsid w:val="003A4CED"/>
    <w:rsid w:val="003B3938"/>
    <w:rsid w:val="003B4A8E"/>
    <w:rsid w:val="003C0386"/>
    <w:rsid w:val="003C43EA"/>
    <w:rsid w:val="003C4770"/>
    <w:rsid w:val="003D351D"/>
    <w:rsid w:val="003D4E2F"/>
    <w:rsid w:val="003D6882"/>
    <w:rsid w:val="003E3F10"/>
    <w:rsid w:val="003E7151"/>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1077"/>
    <w:rsid w:val="00440769"/>
    <w:rsid w:val="00441145"/>
    <w:rsid w:val="0044568D"/>
    <w:rsid w:val="0044609B"/>
    <w:rsid w:val="004461FB"/>
    <w:rsid w:val="00447324"/>
    <w:rsid w:val="00455429"/>
    <w:rsid w:val="004600A5"/>
    <w:rsid w:val="00460C79"/>
    <w:rsid w:val="00460D91"/>
    <w:rsid w:val="00461B95"/>
    <w:rsid w:val="00461E75"/>
    <w:rsid w:val="004646BF"/>
    <w:rsid w:val="004800B1"/>
    <w:rsid w:val="00486380"/>
    <w:rsid w:val="00490E8E"/>
    <w:rsid w:val="004920C7"/>
    <w:rsid w:val="004927F0"/>
    <w:rsid w:val="004969ED"/>
    <w:rsid w:val="00497251"/>
    <w:rsid w:val="004A3D64"/>
    <w:rsid w:val="004B355C"/>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275C0"/>
    <w:rsid w:val="00632013"/>
    <w:rsid w:val="00635534"/>
    <w:rsid w:val="00637C03"/>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3222"/>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811E3"/>
    <w:rsid w:val="00791E8B"/>
    <w:rsid w:val="00792C90"/>
    <w:rsid w:val="00795CA0"/>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50604"/>
    <w:rsid w:val="00853FE5"/>
    <w:rsid w:val="00855672"/>
    <w:rsid w:val="008574B0"/>
    <w:rsid w:val="008578A8"/>
    <w:rsid w:val="00871768"/>
    <w:rsid w:val="008770B2"/>
    <w:rsid w:val="008775AB"/>
    <w:rsid w:val="00882B8C"/>
    <w:rsid w:val="008918F8"/>
    <w:rsid w:val="00891D3A"/>
    <w:rsid w:val="008B117E"/>
    <w:rsid w:val="008B18CD"/>
    <w:rsid w:val="008B20E4"/>
    <w:rsid w:val="008B3918"/>
    <w:rsid w:val="008B73A0"/>
    <w:rsid w:val="008C0E75"/>
    <w:rsid w:val="008C1829"/>
    <w:rsid w:val="008C1A31"/>
    <w:rsid w:val="008D0016"/>
    <w:rsid w:val="008E58E2"/>
    <w:rsid w:val="008E59FD"/>
    <w:rsid w:val="009049EC"/>
    <w:rsid w:val="00907662"/>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67F0"/>
    <w:rsid w:val="009F20F9"/>
    <w:rsid w:val="009F36DB"/>
    <w:rsid w:val="00A02C20"/>
    <w:rsid w:val="00A14843"/>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05E1"/>
    <w:rsid w:val="00AD50BD"/>
    <w:rsid w:val="00AD7854"/>
    <w:rsid w:val="00AF1E81"/>
    <w:rsid w:val="00AF4C37"/>
    <w:rsid w:val="00AF517F"/>
    <w:rsid w:val="00AF69C7"/>
    <w:rsid w:val="00B07042"/>
    <w:rsid w:val="00B111EB"/>
    <w:rsid w:val="00B13BD0"/>
    <w:rsid w:val="00B232EC"/>
    <w:rsid w:val="00B3426D"/>
    <w:rsid w:val="00B423F9"/>
    <w:rsid w:val="00B42FC2"/>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793E"/>
    <w:rsid w:val="00C03402"/>
    <w:rsid w:val="00C06D6C"/>
    <w:rsid w:val="00C079CC"/>
    <w:rsid w:val="00C10CA0"/>
    <w:rsid w:val="00C1279E"/>
    <w:rsid w:val="00C13054"/>
    <w:rsid w:val="00C13B2D"/>
    <w:rsid w:val="00C14499"/>
    <w:rsid w:val="00C30EFE"/>
    <w:rsid w:val="00C362EA"/>
    <w:rsid w:val="00C422A0"/>
    <w:rsid w:val="00C44EFD"/>
    <w:rsid w:val="00C530FA"/>
    <w:rsid w:val="00C8337C"/>
    <w:rsid w:val="00C83FAC"/>
    <w:rsid w:val="00C85AA5"/>
    <w:rsid w:val="00C90A1D"/>
    <w:rsid w:val="00C95C90"/>
    <w:rsid w:val="00C96593"/>
    <w:rsid w:val="00CA0076"/>
    <w:rsid w:val="00CA29C5"/>
    <w:rsid w:val="00CB091A"/>
    <w:rsid w:val="00CB50A2"/>
    <w:rsid w:val="00CB6278"/>
    <w:rsid w:val="00CE28C3"/>
    <w:rsid w:val="00CE2C3E"/>
    <w:rsid w:val="00CE7D48"/>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9009D"/>
    <w:rsid w:val="00D91CA5"/>
    <w:rsid w:val="00D92870"/>
    <w:rsid w:val="00DA0267"/>
    <w:rsid w:val="00DA4091"/>
    <w:rsid w:val="00DB0C66"/>
    <w:rsid w:val="00DB4920"/>
    <w:rsid w:val="00DB5C73"/>
    <w:rsid w:val="00DB7ED9"/>
    <w:rsid w:val="00DD0F36"/>
    <w:rsid w:val="00DD1CD0"/>
    <w:rsid w:val="00DD47F6"/>
    <w:rsid w:val="00DE06C9"/>
    <w:rsid w:val="00DE226A"/>
    <w:rsid w:val="00DE3F87"/>
    <w:rsid w:val="00DF4C83"/>
    <w:rsid w:val="00E12F8D"/>
    <w:rsid w:val="00E132B1"/>
    <w:rsid w:val="00E13F1A"/>
    <w:rsid w:val="00E2053A"/>
    <w:rsid w:val="00E210A6"/>
    <w:rsid w:val="00E24790"/>
    <w:rsid w:val="00E24B3F"/>
    <w:rsid w:val="00E27B48"/>
    <w:rsid w:val="00E30813"/>
    <w:rsid w:val="00E37561"/>
    <w:rsid w:val="00E37B3E"/>
    <w:rsid w:val="00E4133D"/>
    <w:rsid w:val="00E41350"/>
    <w:rsid w:val="00E41AA3"/>
    <w:rsid w:val="00E43088"/>
    <w:rsid w:val="00E45B46"/>
    <w:rsid w:val="00E518D3"/>
    <w:rsid w:val="00E64371"/>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7A2B"/>
    <w:rsid w:val="00F81071"/>
    <w:rsid w:val="00F83EE6"/>
    <w:rsid w:val="00F941F1"/>
    <w:rsid w:val="00F95DFA"/>
    <w:rsid w:val="00F97C2D"/>
    <w:rsid w:val="00FA0FE4"/>
    <w:rsid w:val="00FA16FC"/>
    <w:rsid w:val="00FA6945"/>
    <w:rsid w:val="00FC1452"/>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B245-EA2F-42C8-8E85-A40CE557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13944</Words>
  <Characters>76693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maria astudillo</cp:lastModifiedBy>
  <cp:revision>2</cp:revision>
  <cp:lastPrinted>2016-02-05T20:46:00Z</cp:lastPrinted>
  <dcterms:created xsi:type="dcterms:W3CDTF">2016-05-12T16:45:00Z</dcterms:created>
  <dcterms:modified xsi:type="dcterms:W3CDTF">2016-05-12T16:45:00Z</dcterms:modified>
</cp:coreProperties>
</file>