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88" w:rsidRPr="00D1431E" w:rsidRDefault="007B7188" w:rsidP="007B7188">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FORMULARIOS</w:t>
      </w:r>
      <w:r>
        <w:rPr>
          <w:rStyle w:val="Refdenotaalpie"/>
          <w:rFonts w:asciiTheme="minorHAnsi" w:hAnsiTheme="minorHAnsi"/>
          <w:bCs w:val="0"/>
          <w:sz w:val="22"/>
          <w:szCs w:val="22"/>
        </w:rPr>
        <w:footnoteReference w:id="1"/>
      </w:r>
    </w:p>
    <w:p w:rsidR="007B7188" w:rsidRPr="00A8044E" w:rsidRDefault="007B7188" w:rsidP="007B7188">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Pr>
          <w:rFonts w:asciiTheme="minorHAnsi" w:eastAsia="Times New Roman" w:hAnsiTheme="minorHAnsi"/>
          <w:b/>
          <w:bCs/>
          <w:lang w:eastAsia="es-EC"/>
        </w:rPr>
        <w:t>006-</w:t>
      </w:r>
      <w:r w:rsidRPr="00EB2B84">
        <w:rPr>
          <w:rFonts w:asciiTheme="minorHAnsi" w:eastAsia="Times New Roman" w:hAnsiTheme="minorHAnsi"/>
          <w:b/>
          <w:bCs/>
          <w:lang w:eastAsia="es-EC"/>
        </w:rPr>
        <w:t>2016</w:t>
      </w:r>
    </w:p>
    <w:p w:rsidR="007B7188" w:rsidRPr="00A8044E" w:rsidRDefault="007B7188" w:rsidP="007B7188">
      <w:pPr>
        <w:tabs>
          <w:tab w:val="left" w:pos="86"/>
          <w:tab w:val="left" w:pos="8806"/>
        </w:tabs>
        <w:spacing w:after="0" w:line="240" w:lineRule="auto"/>
        <w:ind w:left="-753"/>
        <w:rPr>
          <w:rFonts w:asciiTheme="minorHAnsi" w:eastAsia="Times New Roman" w:hAnsiTheme="minorHAnsi"/>
          <w:lang w:eastAsia="es-EC"/>
        </w:rPr>
      </w:pPr>
    </w:p>
    <w:p w:rsidR="007B7188" w:rsidRDefault="007B7188" w:rsidP="007B7188">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7B7188" w:rsidRDefault="007B7188" w:rsidP="007B7188">
      <w:pPr>
        <w:rPr>
          <w:rFonts w:asciiTheme="minorHAnsi" w:hAnsiTheme="minorHAnsi"/>
          <w:bCs/>
        </w:rPr>
      </w:pPr>
    </w:p>
    <w:p w:rsidR="007B7188" w:rsidRPr="00FF6C75" w:rsidRDefault="007B7188" w:rsidP="007B7188">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Pr>
          <w:rFonts w:asciiTheme="minorHAnsi" w:hAnsiTheme="minorHAnsi"/>
          <w:bCs w:val="0"/>
          <w:sz w:val="22"/>
          <w:szCs w:val="22"/>
        </w:rPr>
        <w:t>.1</w:t>
      </w:r>
      <w:r w:rsidRPr="00FF6C75">
        <w:rPr>
          <w:rFonts w:asciiTheme="minorHAnsi" w:hAnsiTheme="minorHAnsi"/>
          <w:sz w:val="22"/>
          <w:szCs w:val="22"/>
        </w:rPr>
        <w:t xml:space="preserve"> CARTA DE PRESENTACIÓN Y COMPROMISO</w:t>
      </w:r>
    </w:p>
    <w:p w:rsidR="007B7188" w:rsidRPr="00A8044E" w:rsidRDefault="007B7188" w:rsidP="007B7188">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7B7188" w:rsidRPr="00A8044E" w:rsidRDefault="007B7188" w:rsidP="007B7188">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Pr>
          <w:rFonts w:asciiTheme="minorHAnsi" w:eastAsia="Times New Roman" w:hAnsiTheme="minorHAnsi"/>
          <w:lang w:eastAsia="es-EC"/>
        </w:rPr>
        <w:t>servicio</w:t>
      </w:r>
      <w:r w:rsidRPr="00A8044E">
        <w:rPr>
          <w:rFonts w:asciiTheme="minorHAnsi" w:eastAsia="Times New Roman" w:hAnsiTheme="minorHAnsi"/>
          <w:lang w:eastAsia="es-EC"/>
        </w:rPr>
        <w:t xml:space="preserve"> (s) objeto (s) del mismo, presento esta </w:t>
      </w:r>
      <w:r>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7B7188" w:rsidRPr="00A8044E" w:rsidRDefault="007B7188" w:rsidP="007B7188">
      <w:pPr>
        <w:spacing w:after="0" w:line="240" w:lineRule="auto"/>
        <w:jc w:val="both"/>
        <w:rPr>
          <w:rFonts w:asciiTheme="minorHAnsi" w:eastAsia="Times New Roman" w:hAnsiTheme="minorHAnsi"/>
          <w:lang w:eastAsia="es-EC"/>
        </w:rPr>
      </w:pPr>
    </w:p>
    <w:p w:rsidR="007B7188"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 General.</w:t>
      </w:r>
    </w:p>
    <w:p w:rsidR="007B7188" w:rsidRPr="009E67F0"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7B7188"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(adhesión a las especificaciones técnicas y condiciones económicas) 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 directa o indirectamente, en forma explícita o en forma oculta posturas, abstenciones o resultados con otro u otros oferentes, se consideren o no partes relacionadas en los términos de la normativa aplicable; así mismo, me obligo a abstenerme de acciones, omisiones, acuerdos o prácticas concertadas; y, en general, de toda conducta cuyo objeto o efecto sea impedir, restringir, falsear o distorsionar la competencia, ya sea en la presentación de la </w:t>
      </w:r>
      <w:r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7B7188"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7B7188" w:rsidRPr="009E67F0" w:rsidRDefault="007B7188" w:rsidP="007B7188">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a lo establecido en el pliego, acuerdo de compromiso y ficha técnica; proveeré el servicio de conformidad con las características detalladas y las </w:t>
      </w:r>
      <w:r w:rsidRPr="009E67F0">
        <w:rPr>
          <w:rFonts w:asciiTheme="minorHAnsi" w:eastAsia="Times New Roman" w:hAnsiTheme="minorHAnsi"/>
          <w:lang w:eastAsia="es-EC"/>
        </w:rPr>
        <w:lastRenderedPageBreak/>
        <w:t xml:space="preserve">especificaciones técnicas determinadas en la ficha del servicio, en el plazo y por el(los) precio(s) indicado(s) en el Formulario 3; al presentar </w:t>
      </w:r>
      <w:r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7B7188" w:rsidRPr="009E67F0"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 xml:space="preserve">Bajo juramento,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la </w:t>
      </w:r>
      <w:r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selección de contratistas, adjudicación o declaratoria de procedimiento desierto, recepción de la prestación de servicios, administración o supervisión de contratos o cualquier otra intervención o decisión en la fase precontractual o contractual.</w:t>
      </w:r>
    </w:p>
    <w:p w:rsidR="007B7188" w:rsidRPr="009E67F0"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7B7188" w:rsidRPr="009E67F0"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Me obligo a guardar absoluta reserva de la información confiada y a la que pueda tener acceso durante las visitas previas a la valoración de la documentación de adhesión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7B7188"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7B7188"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Entiendo que las cantidades indicadas  como capacidad máxima de producción en el Formulario 3 para esta selección de proveedores son exactas y, que no pueden cambiar, salvo el caso que se solicite incremento de capacidad productiva.</w:t>
      </w:r>
    </w:p>
    <w:p w:rsidR="007B7188"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De resultar catalogado, ejecutaré la prestación del servicio sobre la base de las cantidades, especificaciones técnicas y condiciones establecidas en la ficha, las mismas que declaro conocer; y, en tal virtud, no aduciré error, falencia o cualquier inconformidad, como causal para solicitar ampliación del plazo de entrega de la prestación del servicio.</w:t>
      </w:r>
    </w:p>
    <w:p w:rsidR="007B7188" w:rsidRPr="009E67F0"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 el SERCOP, se reserva el derecho de catalogar, cancelar o declarar desierto el procedimiento, si conviniere a los intereses nacionales o institucionales, sin que dicha decisión cause ningún tipo de reparación o indemnización a mi favor</w:t>
      </w:r>
    </w:p>
    <w:p w:rsidR="007B7188"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7B7188"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 autorizo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7B7188"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Acuerdo de Compromiso o de la orden de compra, con las consecuencias legales y reglamentarias pertinentes.</w:t>
      </w:r>
    </w:p>
    <w:p w:rsidR="007B7188" w:rsidRPr="009E67F0" w:rsidRDefault="007B7188" w:rsidP="007B7188">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7B7188" w:rsidRDefault="007B7188" w:rsidP="007B7188">
      <w:pPr>
        <w:spacing w:after="0" w:line="240" w:lineRule="auto"/>
        <w:jc w:val="both"/>
        <w:rPr>
          <w:rFonts w:asciiTheme="minorHAnsi" w:eastAsia="Times New Roman" w:hAnsiTheme="minorHAnsi"/>
          <w:lang w:eastAsia="es-EC"/>
        </w:rPr>
      </w:pPr>
    </w:p>
    <w:p w:rsidR="007B7188" w:rsidRPr="004C3E3A" w:rsidRDefault="007B7188" w:rsidP="007B7188">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4.1.2</w:t>
      </w:r>
      <w:r w:rsidRPr="004C3E3A">
        <w:rPr>
          <w:rFonts w:asciiTheme="minorHAnsi" w:hAnsiTheme="minorHAnsi"/>
          <w:sz w:val="22"/>
          <w:szCs w:val="22"/>
        </w:rPr>
        <w:t xml:space="preserve"> DATOS GENERALES DEL OFERENTE</w:t>
      </w:r>
    </w:p>
    <w:p w:rsidR="007B7188" w:rsidRPr="004C3E3A" w:rsidRDefault="007B7188" w:rsidP="007B7188">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7B7188" w:rsidRPr="004C3E3A" w:rsidTr="00C01246">
        <w:trPr>
          <w:trHeight w:val="524"/>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507"/>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b/>
                <w:lang w:eastAsia="es-EC"/>
              </w:rPr>
            </w:pPr>
            <w:r w:rsidRPr="004C3E3A">
              <w:rPr>
                <w:rFonts w:asciiTheme="minorHAnsi" w:eastAsia="Times New Roman" w:hAnsiTheme="minorHAnsi"/>
                <w:b/>
                <w:lang w:eastAsia="es-EC"/>
              </w:rPr>
              <w:t>Nombre representante legal (P. jurídica)</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262"/>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245"/>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262"/>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262"/>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245"/>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262"/>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785"/>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lang w:eastAsia="es-EC"/>
              </w:rPr>
            </w:pPr>
            <w:r w:rsidRPr="004C3E3A">
              <w:rPr>
                <w:rFonts w:asciiTheme="minorHAnsi" w:eastAsia="Times New Roman" w:hAnsiTheme="minorHAnsi"/>
                <w:b/>
                <w:bCs/>
                <w:lang w:eastAsia="es-EC"/>
              </w:rPr>
              <w:t xml:space="preserve">Cédula de Ciudadanía </w:t>
            </w:r>
            <w:r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245"/>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7B7188" w:rsidRPr="004C3E3A" w:rsidRDefault="007B7188" w:rsidP="00C01246">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262"/>
        </w:trPr>
        <w:tc>
          <w:tcPr>
            <w:tcW w:w="840" w:type="dxa"/>
            <w:tcBorders>
              <w:top w:val="nil"/>
              <w:left w:val="nil"/>
              <w:bottom w:val="nil"/>
              <w:right w:val="single" w:sz="4" w:space="0" w:color="auto"/>
            </w:tcBorders>
          </w:tcPr>
          <w:p w:rsidR="007B7188" w:rsidRPr="004C3E3A" w:rsidRDefault="007B7188" w:rsidP="00C01246">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B7188" w:rsidRPr="004C3E3A" w:rsidRDefault="007B7188" w:rsidP="00C01246">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7B7188" w:rsidRPr="004C3E3A" w:rsidRDefault="007B7188" w:rsidP="00C01246">
            <w:pPr>
              <w:rPr>
                <w:rFonts w:asciiTheme="minorHAnsi" w:eastAsia="Times New Roman" w:hAnsiTheme="minorHAnsi"/>
                <w:lang w:eastAsia="es-EC"/>
              </w:rPr>
            </w:pPr>
          </w:p>
        </w:tc>
        <w:tc>
          <w:tcPr>
            <w:tcW w:w="801" w:type="dxa"/>
            <w:tcBorders>
              <w:top w:val="nil"/>
              <w:left w:val="single" w:sz="4" w:space="0" w:color="auto"/>
              <w:bottom w:val="nil"/>
              <w:right w:val="nil"/>
            </w:tcBorders>
          </w:tcPr>
          <w:p w:rsidR="007B7188" w:rsidRPr="004C3E3A" w:rsidRDefault="007B7188" w:rsidP="00C01246">
            <w:pPr>
              <w:jc w:val="both"/>
              <w:rPr>
                <w:rFonts w:asciiTheme="minorHAnsi" w:eastAsia="Times New Roman" w:hAnsiTheme="minorHAnsi"/>
                <w:lang w:eastAsia="es-EC"/>
              </w:rPr>
            </w:pPr>
          </w:p>
        </w:tc>
      </w:tr>
      <w:tr w:rsidR="007B7188" w:rsidRPr="004C3E3A" w:rsidTr="00C01246">
        <w:trPr>
          <w:trHeight w:val="262"/>
        </w:trPr>
        <w:tc>
          <w:tcPr>
            <w:tcW w:w="840" w:type="dxa"/>
            <w:tcBorders>
              <w:top w:val="nil"/>
              <w:left w:val="nil"/>
              <w:bottom w:val="nil"/>
              <w:right w:val="nil"/>
            </w:tcBorders>
          </w:tcPr>
          <w:p w:rsidR="007B7188" w:rsidRPr="004C3E3A" w:rsidRDefault="007B7188" w:rsidP="00C01246">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7B7188" w:rsidRPr="004C3E3A" w:rsidRDefault="007B7188" w:rsidP="00C01246">
            <w:pPr>
              <w:rPr>
                <w:rFonts w:asciiTheme="minorHAnsi" w:eastAsia="Times New Roman" w:hAnsiTheme="minorHAnsi"/>
                <w:lang w:eastAsia="es-EC"/>
              </w:rPr>
            </w:pPr>
          </w:p>
        </w:tc>
        <w:tc>
          <w:tcPr>
            <w:tcW w:w="801" w:type="dxa"/>
            <w:tcBorders>
              <w:top w:val="nil"/>
              <w:left w:val="nil"/>
              <w:bottom w:val="nil"/>
              <w:right w:val="nil"/>
            </w:tcBorders>
          </w:tcPr>
          <w:p w:rsidR="007B7188" w:rsidRPr="004C3E3A" w:rsidRDefault="007B7188" w:rsidP="00C01246">
            <w:pPr>
              <w:rPr>
                <w:rFonts w:asciiTheme="minorHAnsi" w:eastAsia="Times New Roman" w:hAnsiTheme="minorHAnsi"/>
                <w:lang w:eastAsia="es-EC"/>
              </w:rPr>
            </w:pPr>
          </w:p>
        </w:tc>
      </w:tr>
      <w:tr w:rsidR="007B7188" w:rsidRPr="004C3E3A" w:rsidTr="00C01246">
        <w:trPr>
          <w:trHeight w:val="262"/>
        </w:trPr>
        <w:tc>
          <w:tcPr>
            <w:tcW w:w="840" w:type="dxa"/>
            <w:tcBorders>
              <w:top w:val="nil"/>
              <w:left w:val="nil"/>
              <w:bottom w:val="nil"/>
              <w:right w:val="nil"/>
            </w:tcBorders>
          </w:tcPr>
          <w:p w:rsidR="007B7188" w:rsidRPr="004C3E3A" w:rsidRDefault="007B7188" w:rsidP="00C01246">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7B7188" w:rsidRPr="004C3E3A" w:rsidRDefault="007B7188" w:rsidP="00C01246">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verificación o inspección de</w:t>
            </w:r>
            <w:r>
              <w:rPr>
                <w:rFonts w:asciiTheme="minorHAnsi" w:eastAsia="Times New Roman" w:hAnsiTheme="minorHAnsi"/>
                <w:bCs/>
                <w:lang w:eastAsia="es-EC"/>
              </w:rPr>
              <w:t xml:space="preserve"> la oficina y de ser el caso la bodega</w:t>
            </w:r>
            <w:r w:rsidRPr="004C3E3A">
              <w:rPr>
                <w:rFonts w:asciiTheme="minorHAnsi" w:eastAsia="Times New Roman" w:hAnsiTheme="minorHAnsi"/>
                <w:bCs/>
                <w:lang w:eastAsia="es-EC"/>
              </w:rPr>
              <w:t xml:space="preserve"> </w:t>
            </w:r>
            <w:r>
              <w:rPr>
                <w:rFonts w:asciiTheme="minorHAnsi" w:eastAsia="Times New Roman" w:hAnsiTheme="minorHAnsi"/>
                <w:bCs/>
                <w:lang w:eastAsia="es-EC"/>
              </w:rPr>
              <w:t xml:space="preserve">por parte de </w:t>
            </w:r>
            <w:r w:rsidRPr="004C3E3A">
              <w:rPr>
                <w:rFonts w:asciiTheme="minorHAnsi" w:eastAsia="Times New Roman" w:hAnsiTheme="minorHAnsi"/>
                <w:bCs/>
                <w:lang w:eastAsia="es-EC"/>
              </w:rPr>
              <w:t xml:space="preserve">la entidad contratante </w:t>
            </w:r>
            <w:r>
              <w:rPr>
                <w:rFonts w:asciiTheme="minorHAnsi" w:eastAsia="Times New Roman" w:hAnsiTheme="minorHAnsi"/>
                <w:bCs/>
                <w:lang w:eastAsia="es-EC"/>
              </w:rPr>
              <w:t xml:space="preserve"> o </w:t>
            </w:r>
            <w:r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7B7188" w:rsidRPr="004C3E3A" w:rsidRDefault="007B7188" w:rsidP="00C01246">
            <w:pPr>
              <w:rPr>
                <w:rFonts w:asciiTheme="minorHAnsi" w:eastAsia="Times New Roman" w:hAnsiTheme="minorHAnsi"/>
                <w:lang w:eastAsia="es-EC"/>
              </w:rPr>
            </w:pPr>
          </w:p>
        </w:tc>
      </w:tr>
      <w:tr w:rsidR="007B7188" w:rsidRPr="004C3E3A" w:rsidTr="00C01246">
        <w:trPr>
          <w:trHeight w:val="262"/>
        </w:trPr>
        <w:tc>
          <w:tcPr>
            <w:tcW w:w="840" w:type="dxa"/>
            <w:tcBorders>
              <w:top w:val="nil"/>
              <w:left w:val="nil"/>
              <w:bottom w:val="nil"/>
              <w:right w:val="nil"/>
            </w:tcBorders>
          </w:tcPr>
          <w:p w:rsidR="007B7188" w:rsidRPr="004C3E3A" w:rsidRDefault="007B7188" w:rsidP="00C01246">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7B7188" w:rsidRPr="004C3E3A" w:rsidRDefault="007B7188" w:rsidP="00C01246">
            <w:pPr>
              <w:rPr>
                <w:rFonts w:asciiTheme="minorHAnsi" w:eastAsia="Times New Roman" w:hAnsiTheme="minorHAnsi"/>
                <w:lang w:eastAsia="es-EC"/>
              </w:rPr>
            </w:pPr>
          </w:p>
        </w:tc>
        <w:tc>
          <w:tcPr>
            <w:tcW w:w="801" w:type="dxa"/>
            <w:tcBorders>
              <w:top w:val="nil"/>
              <w:left w:val="nil"/>
              <w:bottom w:val="nil"/>
              <w:right w:val="nil"/>
            </w:tcBorders>
          </w:tcPr>
          <w:p w:rsidR="007B7188" w:rsidRPr="004C3E3A" w:rsidRDefault="007B7188" w:rsidP="00C01246">
            <w:pPr>
              <w:rPr>
                <w:rFonts w:asciiTheme="minorHAnsi" w:eastAsia="Times New Roman" w:hAnsiTheme="minorHAnsi"/>
                <w:lang w:eastAsia="es-EC"/>
              </w:rPr>
            </w:pPr>
          </w:p>
        </w:tc>
      </w:tr>
    </w:tbl>
    <w:p w:rsidR="007B7188" w:rsidRPr="004C3E3A" w:rsidRDefault="007B7188" w:rsidP="007B7188">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7B7188" w:rsidRPr="004C3E3A" w:rsidRDefault="007B7188" w:rsidP="007B7188">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7B7188" w:rsidRPr="004C3E3A" w:rsidRDefault="007B7188" w:rsidP="007B7188">
      <w:pPr>
        <w:spacing w:after="0"/>
        <w:rPr>
          <w:rFonts w:asciiTheme="minorHAnsi" w:eastAsia="Times New Roman" w:hAnsiTheme="minorHAnsi"/>
          <w:lang w:eastAsia="es-EC"/>
        </w:rPr>
      </w:pPr>
    </w:p>
    <w:p w:rsidR="007B7188" w:rsidRPr="00103B82" w:rsidRDefault="007B7188" w:rsidP="007B7188">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 el proveedor proporcionará toda la documentación solicitada por el SERCOP al momento de su catalogación a fin de probar dicha condición.</w:t>
      </w:r>
      <w:r w:rsidRPr="00103B82">
        <w:rPr>
          <w:rFonts w:asciiTheme="minorHAnsi" w:eastAsia="Times New Roman" w:hAnsiTheme="minorHAnsi"/>
          <w:lang w:eastAsia="es-EC"/>
        </w:rPr>
        <w:t xml:space="preserve"> </w:t>
      </w:r>
    </w:p>
    <w:p w:rsidR="007B7188" w:rsidRPr="00032CE2" w:rsidRDefault="007B7188" w:rsidP="007B7188">
      <w:pPr>
        <w:spacing w:after="0"/>
        <w:rPr>
          <w:rFonts w:asciiTheme="minorHAnsi" w:eastAsia="Times New Roman" w:hAnsiTheme="minorHAnsi"/>
          <w:lang w:eastAsia="es-EC"/>
        </w:rPr>
      </w:pPr>
    </w:p>
    <w:p w:rsidR="007B7188" w:rsidRPr="00103B82" w:rsidRDefault="007B7188" w:rsidP="007B7188">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7B7188" w:rsidRDefault="007B7188" w:rsidP="007B7188">
      <w:pPr>
        <w:spacing w:after="0" w:line="240" w:lineRule="auto"/>
        <w:jc w:val="both"/>
        <w:rPr>
          <w:rFonts w:asciiTheme="minorHAnsi" w:eastAsia="Times New Roman" w:hAnsiTheme="minorHAnsi"/>
          <w:lang w:eastAsia="es-EC"/>
        </w:rPr>
      </w:pPr>
    </w:p>
    <w:p w:rsidR="007B7188" w:rsidRDefault="007B7188" w:rsidP="007B7188">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Pr="00A8044E">
        <w:rPr>
          <w:rFonts w:asciiTheme="minorHAnsi" w:eastAsia="Times New Roman" w:hAnsiTheme="minorHAnsi"/>
          <w:b/>
          <w:lang w:eastAsia="es-EC"/>
        </w:rPr>
        <w:t>CDI-SERCOP-</w:t>
      </w:r>
      <w:r>
        <w:rPr>
          <w:rFonts w:asciiTheme="minorHAnsi" w:eastAsia="Times New Roman" w:hAnsiTheme="minorHAnsi"/>
          <w:b/>
          <w:lang w:eastAsia="es-EC"/>
        </w:rPr>
        <w:t>006-</w:t>
      </w:r>
      <w:r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7B7188" w:rsidRDefault="007B7188" w:rsidP="007B7188">
      <w:pPr>
        <w:spacing w:after="0" w:line="240" w:lineRule="auto"/>
        <w:jc w:val="both"/>
        <w:rPr>
          <w:rFonts w:asciiTheme="minorHAnsi" w:eastAsia="Times New Roman" w:hAnsiTheme="minorHAnsi"/>
          <w:lang w:eastAsia="es-EC"/>
        </w:rPr>
      </w:pPr>
    </w:p>
    <w:p w:rsidR="007B7188" w:rsidRPr="00A8044E" w:rsidRDefault="007B7188" w:rsidP="007B7188">
      <w:pPr>
        <w:spacing w:after="0" w:line="240" w:lineRule="auto"/>
        <w:jc w:val="both"/>
        <w:rPr>
          <w:rFonts w:asciiTheme="minorHAnsi" w:eastAsia="Times New Roman" w:hAnsiTheme="minorHAnsi"/>
          <w:lang w:eastAsia="es-EC"/>
        </w:rPr>
      </w:pPr>
    </w:p>
    <w:p w:rsidR="007B7188" w:rsidRPr="00A8044E" w:rsidRDefault="007B7188" w:rsidP="007B7188">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7B7188" w:rsidRPr="00A8044E" w:rsidTr="00C01246">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7B7188" w:rsidRPr="00A8044E" w:rsidRDefault="007B7188" w:rsidP="00C01246">
            <w:pPr>
              <w:jc w:val="center"/>
              <w:rPr>
                <w:rFonts w:asciiTheme="minorHAnsi" w:eastAsia="Times New Roman" w:hAnsiTheme="minorHAnsi"/>
                <w:b/>
                <w:lang w:eastAsia="es-EC"/>
              </w:rPr>
            </w:pPr>
            <w:r w:rsidRPr="00A8044E">
              <w:rPr>
                <w:rFonts w:asciiTheme="minorHAnsi" w:eastAsia="Times New Roman" w:hAnsiTheme="minorHAnsi"/>
                <w:b/>
                <w:lang w:eastAsia="es-EC"/>
              </w:rPr>
              <w:t>N</w:t>
            </w:r>
            <w:r>
              <w:rPr>
                <w:rFonts w:asciiTheme="minorHAnsi" w:eastAsia="Times New Roman" w:hAnsiTheme="minorHAnsi"/>
                <w:b/>
                <w:lang w:eastAsia="es-EC"/>
              </w:rPr>
              <w:t>o</w:t>
            </w:r>
            <w:r w:rsidRPr="00A8044E">
              <w:rPr>
                <w:rFonts w:asciiTheme="minorHAnsi" w:eastAsia="Times New Roman" w:hAnsiTheme="minorHAnsi"/>
                <w:b/>
                <w:lang w:eastAsia="es-EC"/>
              </w:rPr>
              <w:t>.</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7B7188" w:rsidRPr="00A8044E" w:rsidRDefault="007B7188" w:rsidP="00C01246">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7B7188" w:rsidRPr="0031222D" w:rsidRDefault="007B7188" w:rsidP="00C01246">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7B7188" w:rsidRPr="0031222D" w:rsidRDefault="007B7188" w:rsidP="00C01246">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7B7188" w:rsidRPr="00A8044E" w:rsidRDefault="007B7188" w:rsidP="00C01246">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7B7188" w:rsidRPr="00A8044E" w:rsidRDefault="007B7188" w:rsidP="00C01246">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7B7188" w:rsidRPr="00A8044E" w:rsidTr="00C01246">
        <w:trPr>
          <w:jc w:val="center"/>
        </w:trPr>
        <w:tc>
          <w:tcPr>
            <w:tcW w:w="719"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7B7188" w:rsidRPr="00A8044E" w:rsidRDefault="007B7188" w:rsidP="00C01246">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jc w:val="center"/>
              <w:rPr>
                <w:rFonts w:asciiTheme="minorHAnsi" w:eastAsia="Times New Roman" w:hAnsiTheme="minorHAnsi"/>
                <w:b/>
                <w:highlight w:val="yellow"/>
                <w:lang w:eastAsia="es-EC"/>
              </w:rPr>
            </w:pPr>
          </w:p>
        </w:tc>
      </w:tr>
      <w:tr w:rsidR="007B7188" w:rsidRPr="00A8044E" w:rsidTr="00C01246">
        <w:trPr>
          <w:jc w:val="center"/>
        </w:trPr>
        <w:tc>
          <w:tcPr>
            <w:tcW w:w="719"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7B7188" w:rsidRPr="00A8044E" w:rsidRDefault="007B7188" w:rsidP="00C01246">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jc w:val="center"/>
              <w:rPr>
                <w:rFonts w:asciiTheme="minorHAnsi" w:eastAsia="Times New Roman" w:hAnsiTheme="minorHAnsi"/>
                <w:b/>
                <w:highlight w:val="yellow"/>
                <w:lang w:eastAsia="es-EC"/>
              </w:rPr>
            </w:pPr>
          </w:p>
        </w:tc>
      </w:tr>
      <w:tr w:rsidR="007B7188" w:rsidRPr="00A8044E" w:rsidTr="00C01246">
        <w:trPr>
          <w:jc w:val="center"/>
        </w:trPr>
        <w:tc>
          <w:tcPr>
            <w:tcW w:w="719"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7B7188" w:rsidRPr="00A8044E" w:rsidRDefault="007B7188" w:rsidP="00C01246">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jc w:val="center"/>
              <w:rPr>
                <w:rFonts w:asciiTheme="minorHAnsi" w:eastAsia="Times New Roman" w:hAnsiTheme="minorHAnsi"/>
                <w:b/>
                <w:highlight w:val="yellow"/>
                <w:lang w:eastAsia="es-EC"/>
              </w:rPr>
            </w:pPr>
          </w:p>
        </w:tc>
      </w:tr>
    </w:tbl>
    <w:p w:rsidR="007B7188" w:rsidRDefault="007B7188" w:rsidP="007B7188">
      <w:pPr>
        <w:spacing w:after="0" w:line="240" w:lineRule="auto"/>
        <w:jc w:val="both"/>
        <w:rPr>
          <w:rFonts w:asciiTheme="minorHAnsi" w:hAnsiTheme="minorHAnsi"/>
        </w:rPr>
      </w:pPr>
    </w:p>
    <w:p w:rsidR="007B7188" w:rsidRPr="00032CE2" w:rsidRDefault="007B7188" w:rsidP="007B7188">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7B7188" w:rsidRPr="00A8044E" w:rsidRDefault="007B7188" w:rsidP="007B7188">
      <w:pPr>
        <w:spacing w:after="0" w:line="240" w:lineRule="auto"/>
        <w:jc w:val="both"/>
        <w:rPr>
          <w:sz w:val="16"/>
        </w:rPr>
      </w:pPr>
    </w:p>
    <w:p w:rsidR="007B7188" w:rsidRDefault="007B7188" w:rsidP="007B7188">
      <w:pPr>
        <w:tabs>
          <w:tab w:val="left" w:pos="-540"/>
        </w:tabs>
        <w:spacing w:after="0" w:line="240" w:lineRule="auto"/>
        <w:jc w:val="both"/>
        <w:rPr>
          <w:rFonts w:asciiTheme="minorHAnsi" w:eastAsia="Times New Roman" w:hAnsiTheme="minorHAnsi"/>
          <w:b/>
          <w:bCs/>
          <w:lang w:eastAsia="es-EC"/>
        </w:rPr>
      </w:pPr>
    </w:p>
    <w:p w:rsidR="007B7188" w:rsidRPr="00032CE2" w:rsidRDefault="007B7188" w:rsidP="007B7188">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Pr>
          <w:rFonts w:asciiTheme="minorHAnsi" w:hAnsiTheme="minorHAnsi"/>
          <w:bCs w:val="0"/>
          <w:sz w:val="22"/>
          <w:szCs w:val="22"/>
        </w:rPr>
        <w:t>1.</w:t>
      </w:r>
      <w:r w:rsidRPr="00032CE2">
        <w:rPr>
          <w:rFonts w:asciiTheme="minorHAnsi" w:hAnsiTheme="minorHAnsi"/>
          <w:bCs w:val="0"/>
          <w:sz w:val="22"/>
          <w:szCs w:val="22"/>
        </w:rPr>
        <w:t xml:space="preserve">4 </w:t>
      </w:r>
      <w:r>
        <w:rPr>
          <w:rFonts w:asciiTheme="minorHAnsi" w:hAnsiTheme="minorHAnsi"/>
          <w:bCs w:val="0"/>
          <w:sz w:val="22"/>
          <w:szCs w:val="22"/>
        </w:rPr>
        <w:t xml:space="preserve"> </w:t>
      </w:r>
      <w:r w:rsidRPr="00032CE2">
        <w:rPr>
          <w:rFonts w:asciiTheme="minorHAnsi" w:hAnsiTheme="minorHAnsi" w:cs="Arial"/>
          <w:sz w:val="22"/>
          <w:szCs w:val="22"/>
        </w:rPr>
        <w:t>NÓMINA DE SOCIO</w:t>
      </w:r>
      <w:r w:rsidRPr="00032CE2">
        <w:rPr>
          <w:rFonts w:asciiTheme="minorHAnsi" w:hAnsiTheme="minorHAnsi" w:cs="Arial"/>
          <w:spacing w:val="-3"/>
          <w:sz w:val="22"/>
          <w:szCs w:val="22"/>
        </w:rPr>
        <w:t>(S), ACCIONISTA(S) O PARTÍCIPE(S) MAYORITARIOS DE PERSONA (S) JURÍDICA (S) OFERENTE (S)</w:t>
      </w:r>
    </w:p>
    <w:p w:rsidR="007B7188" w:rsidRPr="00A8044E" w:rsidRDefault="007B7188" w:rsidP="007B7188">
      <w:pPr>
        <w:tabs>
          <w:tab w:val="left" w:pos="-540"/>
        </w:tabs>
        <w:spacing w:after="0" w:line="240" w:lineRule="auto"/>
        <w:jc w:val="both"/>
        <w:rPr>
          <w:rFonts w:asciiTheme="minorHAnsi" w:eastAsia="Times New Roman" w:hAnsiTheme="minorHAnsi" w:cs="Arial"/>
          <w:b/>
          <w:spacing w:val="-3"/>
        </w:rPr>
      </w:pPr>
    </w:p>
    <w:p w:rsidR="007B7188" w:rsidRDefault="007B7188" w:rsidP="007B7188">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7B7188" w:rsidRPr="00032CE2" w:rsidRDefault="007B7188" w:rsidP="007B7188">
      <w:pPr>
        <w:pStyle w:val="Prrafodelista"/>
        <w:tabs>
          <w:tab w:val="left" w:pos="-720"/>
        </w:tabs>
        <w:suppressAutoHyphens/>
        <w:spacing w:after="0" w:line="240" w:lineRule="auto"/>
        <w:contextualSpacing w:val="0"/>
        <w:rPr>
          <w:rFonts w:asciiTheme="minorHAnsi" w:hAnsiTheme="minorHAnsi" w:cs="Arial"/>
          <w:b/>
          <w:iCs/>
          <w:spacing w:val="-3"/>
        </w:rPr>
      </w:pPr>
    </w:p>
    <w:p w:rsidR="007B7188" w:rsidRPr="00032CE2" w:rsidRDefault="007B7188" w:rsidP="007B7188">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7B7188" w:rsidRPr="00032CE2" w:rsidRDefault="007B7188" w:rsidP="007B7188">
      <w:pPr>
        <w:tabs>
          <w:tab w:val="left" w:pos="-720"/>
        </w:tabs>
        <w:spacing w:after="0" w:line="240" w:lineRule="auto"/>
        <w:jc w:val="center"/>
        <w:rPr>
          <w:rFonts w:asciiTheme="minorHAnsi" w:eastAsia="Times New Roman" w:hAnsiTheme="minorHAnsi" w:cs="Arial"/>
          <w:vanish/>
          <w:spacing w:val="-3"/>
        </w:rPr>
      </w:pPr>
    </w:p>
    <w:p w:rsidR="007B7188" w:rsidRPr="00032CE2" w:rsidRDefault="007B7188" w:rsidP="007B7188">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7B7188" w:rsidRPr="00032CE2" w:rsidRDefault="007B7188" w:rsidP="007B7188">
      <w:pPr>
        <w:spacing w:after="0" w:line="240" w:lineRule="auto"/>
        <w:jc w:val="both"/>
        <w:rPr>
          <w:rFonts w:asciiTheme="minorHAnsi" w:eastAsia="Times New Roman" w:hAnsiTheme="minorHAnsi" w:cs="Arial"/>
        </w:rPr>
      </w:pPr>
    </w:p>
    <w:p w:rsidR="007B7188" w:rsidRDefault="007B7188" w:rsidP="007B7188">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7B7188" w:rsidRPr="00A8044E" w:rsidRDefault="007B7188" w:rsidP="007B7188">
      <w:pPr>
        <w:spacing w:after="0" w:line="240" w:lineRule="auto"/>
        <w:ind w:left="426" w:hanging="426"/>
        <w:jc w:val="both"/>
        <w:rPr>
          <w:rFonts w:asciiTheme="minorHAnsi" w:eastAsia="Times New Roman" w:hAnsiTheme="minorHAnsi" w:cs="Arial"/>
        </w:rPr>
      </w:pPr>
    </w:p>
    <w:p w:rsidR="007B7188" w:rsidRPr="00A8044E" w:rsidRDefault="007B7188" w:rsidP="007B7188">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7B7188" w:rsidRDefault="007B7188" w:rsidP="007B7188">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7B7188" w:rsidRPr="00A8044E" w:rsidRDefault="007B7188" w:rsidP="007B7188">
      <w:pPr>
        <w:spacing w:after="0" w:line="240" w:lineRule="auto"/>
        <w:ind w:left="426"/>
        <w:jc w:val="both"/>
        <w:rPr>
          <w:rFonts w:asciiTheme="minorHAnsi" w:eastAsia="Times New Roman" w:hAnsiTheme="minorHAnsi" w:cs="Arial"/>
          <w:i/>
          <w:iCs/>
        </w:rPr>
      </w:pPr>
    </w:p>
    <w:p w:rsidR="007B7188" w:rsidRDefault="007B7188" w:rsidP="007B7188">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 xml:space="preserve">Me comprometo a notificar al SERCOP, la cesión o enajenación, bajo cualquier modalidad de las acciones, participaciones o cualquier otra forma de participación, que realice la persona jurídica a la que represento. En caso de no hacerlo, acepto que el SERCOP, declare unilateralmente terminado el Acuerdo de Compromiso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7B7188" w:rsidRPr="00036360" w:rsidRDefault="007B7188" w:rsidP="007B7188">
      <w:pPr>
        <w:spacing w:after="0" w:line="240" w:lineRule="auto"/>
        <w:jc w:val="both"/>
        <w:rPr>
          <w:rFonts w:asciiTheme="minorHAnsi" w:eastAsia="Times New Roman" w:hAnsiTheme="minorHAnsi" w:cs="Arial"/>
          <w:i/>
          <w:spacing w:val="-2"/>
        </w:rPr>
      </w:pPr>
    </w:p>
    <w:p w:rsidR="007B7188" w:rsidRPr="00036360" w:rsidRDefault="007B7188" w:rsidP="007B7188">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7B7188" w:rsidRPr="00036360" w:rsidRDefault="007B7188" w:rsidP="007B7188">
      <w:pPr>
        <w:spacing w:after="0" w:line="240" w:lineRule="auto"/>
        <w:jc w:val="both"/>
        <w:rPr>
          <w:rFonts w:asciiTheme="minorHAnsi" w:eastAsia="Times New Roman" w:hAnsiTheme="minorHAnsi" w:cs="Arial"/>
          <w:i/>
          <w:spacing w:val="-2"/>
        </w:rPr>
      </w:pPr>
    </w:p>
    <w:p w:rsidR="007B7188" w:rsidRPr="00036360" w:rsidRDefault="007B7188" w:rsidP="007B7188">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7B7188" w:rsidRPr="00036360" w:rsidRDefault="007B7188" w:rsidP="007B7188">
      <w:pPr>
        <w:tabs>
          <w:tab w:val="left" w:pos="8280"/>
        </w:tabs>
        <w:spacing w:after="0" w:line="240" w:lineRule="auto"/>
        <w:jc w:val="both"/>
        <w:rPr>
          <w:rFonts w:asciiTheme="minorHAnsi" w:eastAsia="Times New Roman" w:hAnsiTheme="minorHAnsi" w:cs="Arial"/>
          <w:spacing w:val="-2"/>
        </w:rPr>
      </w:pPr>
    </w:p>
    <w:p w:rsidR="007B7188" w:rsidRPr="00A8044E" w:rsidRDefault="007B7188" w:rsidP="007B7188">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7B7188" w:rsidRPr="00A8044E" w:rsidRDefault="007B7188" w:rsidP="007B7188">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7B7188" w:rsidRPr="00A8044E" w:rsidRDefault="007B7188" w:rsidP="007B7188">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7B7188" w:rsidRPr="00A8044E" w:rsidRDefault="007B7188" w:rsidP="007B7188">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terminación unilateral del Acuerdo de Compromiso, en cumplimiento del artículo 64 de la LOSNCP, si tal comprobación ocurriere durante la vigencia de la relación contractual.  </w:t>
      </w:r>
    </w:p>
    <w:p w:rsidR="007B7188" w:rsidRDefault="007B7188" w:rsidP="007B7188">
      <w:pPr>
        <w:tabs>
          <w:tab w:val="left" w:pos="709"/>
          <w:tab w:val="left" w:pos="14760"/>
        </w:tabs>
        <w:spacing w:after="0" w:line="240" w:lineRule="auto"/>
        <w:jc w:val="both"/>
        <w:rPr>
          <w:rFonts w:asciiTheme="minorHAnsi" w:eastAsia="Times New Roman" w:hAnsiTheme="minorHAnsi" w:cs="Arial"/>
          <w:spacing w:val="-2"/>
        </w:rPr>
      </w:pPr>
    </w:p>
    <w:p w:rsidR="007B7188" w:rsidRPr="00A8044E" w:rsidRDefault="007B7188" w:rsidP="007B7188">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7B7188" w:rsidRDefault="007B7188" w:rsidP="007B7188">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7B7188" w:rsidRDefault="007B7188" w:rsidP="007B7188">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7B7188" w:rsidRPr="00A8044E" w:rsidRDefault="007B7188" w:rsidP="00C01246">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7B7188" w:rsidRDefault="007B7188" w:rsidP="00C01246">
            <w:pPr>
              <w:tabs>
                <w:tab w:val="left" w:pos="709"/>
                <w:tab w:val="left" w:pos="14760"/>
              </w:tabs>
              <w:jc w:val="both"/>
              <w:rPr>
                <w:rFonts w:asciiTheme="minorHAnsi" w:eastAsia="Times New Roman" w:hAnsiTheme="minorHAnsi" w:cs="Arial"/>
                <w:b/>
                <w:spacing w:val="-2"/>
              </w:rPr>
            </w:pPr>
          </w:p>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161"/>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306"/>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198"/>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CB6278" w:rsidRDefault="007B7188" w:rsidP="00C01246">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bl>
    <w:p w:rsidR="007B7188" w:rsidRPr="00A8044E" w:rsidRDefault="007B7188" w:rsidP="007B7188">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7B7188" w:rsidRPr="00A8044E" w:rsidTr="00C01246">
        <w:trPr>
          <w:trHeight w:val="141"/>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A8044E" w:rsidRDefault="007B7188" w:rsidP="00C01246">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7B7188" w:rsidRPr="00A8044E" w:rsidRDefault="007B7188" w:rsidP="00C01246">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A8044E" w:rsidRDefault="007B7188" w:rsidP="00C01246">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A8044E" w:rsidRDefault="007B7188" w:rsidP="00C01246">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A8044E" w:rsidRDefault="007B7188" w:rsidP="00C01246">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7B7188" w:rsidRDefault="007B7188" w:rsidP="00C01246">
            <w:pPr>
              <w:shd w:val="clear" w:color="auto" w:fill="FFFFFF"/>
              <w:tabs>
                <w:tab w:val="center" w:pos="1984"/>
              </w:tabs>
              <w:spacing w:after="120"/>
              <w:jc w:val="both"/>
              <w:rPr>
                <w:rFonts w:asciiTheme="minorHAnsi" w:eastAsia="Times New Roman" w:hAnsiTheme="minorHAnsi" w:cs="Calibri"/>
                <w:b/>
                <w:spacing w:val="-2"/>
              </w:rPr>
            </w:pPr>
          </w:p>
          <w:p w:rsidR="007B7188" w:rsidRDefault="007B7188" w:rsidP="00C01246">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7B7188" w:rsidRPr="00A8044E" w:rsidRDefault="007B7188" w:rsidP="00C01246">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A8044E" w:rsidRDefault="007B7188" w:rsidP="00C01246">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7B7188" w:rsidRPr="00A8044E" w:rsidRDefault="007B7188" w:rsidP="00C01246">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A8044E" w:rsidRDefault="007B7188" w:rsidP="00C01246">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A8044E" w:rsidRDefault="007B7188" w:rsidP="00C01246">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7188" w:rsidRPr="00A8044E" w:rsidRDefault="007B7188" w:rsidP="00C01246">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7B7188" w:rsidRPr="00A8044E" w:rsidRDefault="007B7188" w:rsidP="00C01246">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7B7188" w:rsidRPr="00A8044E" w:rsidRDefault="007B7188" w:rsidP="007B7188">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7B7188" w:rsidRPr="00A8044E" w:rsidRDefault="007B7188" w:rsidP="007B7188">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7B7188" w:rsidRDefault="007B7188" w:rsidP="007B7188">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7B7188" w:rsidRDefault="007B7188" w:rsidP="00C01246">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7B7188" w:rsidRPr="00A8044E" w:rsidRDefault="007B7188" w:rsidP="00C01246">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bl>
    <w:p w:rsidR="007B7188" w:rsidRPr="00E7671D" w:rsidRDefault="007B7188" w:rsidP="007B718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4.1.5</w:t>
      </w:r>
      <w:r w:rsidRPr="00A8044E">
        <w:rPr>
          <w:rFonts w:asciiTheme="minorHAnsi" w:eastAsia="Times New Roman" w:hAnsiTheme="minorHAnsi"/>
          <w:b/>
          <w:bCs/>
          <w:lang w:eastAsia="es-EC"/>
        </w:rPr>
        <w:t xml:space="preserve"> </w:t>
      </w:r>
      <w:r>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7B7188" w:rsidRPr="00A8044E" w:rsidRDefault="007B7188" w:rsidP="007B7188">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7B7188" w:rsidRPr="00A8044E" w:rsidTr="00C01246">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B7188" w:rsidRPr="00A8044E" w:rsidRDefault="007B7188" w:rsidP="00C01246">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B7188" w:rsidRPr="00A8044E" w:rsidRDefault="007B7188" w:rsidP="00C01246">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B7188" w:rsidRPr="00A8044E" w:rsidRDefault="007B7188" w:rsidP="00C01246">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B7188" w:rsidRPr="00A8044E" w:rsidRDefault="007B7188" w:rsidP="00C01246">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r w:rsidR="007B7188" w:rsidRPr="00A8044E" w:rsidTr="00C0124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r>
    </w:tbl>
    <w:p w:rsidR="007B7188" w:rsidRDefault="007B7188" w:rsidP="007B7188">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Anexar </w:t>
      </w:r>
      <w:r>
        <w:rPr>
          <w:rFonts w:asciiTheme="minorHAnsi" w:hAnsiTheme="minorHAnsi"/>
          <w:sz w:val="20"/>
        </w:rPr>
        <w:t xml:space="preserve">copias de cédulas del personal y el carnet correspondiente en caso de empleados que tenga algún tipo de discapacidad o personal que pertenezca a grupos vulnerables y/o grupos de atención prioritaria. </w:t>
      </w:r>
    </w:p>
    <w:p w:rsidR="007B7188" w:rsidRPr="00A8044E" w:rsidRDefault="007B7188" w:rsidP="007B7188">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7B7188" w:rsidRPr="00E64371" w:rsidRDefault="007B7188" w:rsidP="00C01246">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IESS:</w:t>
            </w: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19"/>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7B7188" w:rsidRPr="00A8044E" w:rsidRDefault="007B7188" w:rsidP="00C01246">
            <w:pPr>
              <w:rPr>
                <w:rFonts w:asciiTheme="minorHAnsi" w:hAnsiTheme="minorHAnsi" w:cs="Arial"/>
                <w:spacing w:val="-3"/>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B7188" w:rsidRPr="00A8044E" w:rsidRDefault="007B7188" w:rsidP="00C01246">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B7188" w:rsidRPr="00A8044E" w:rsidRDefault="007B7188" w:rsidP="00C01246">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B7188" w:rsidRPr="00A8044E" w:rsidRDefault="007B7188" w:rsidP="00C01246">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single" w:sz="4" w:space="0" w:color="auto"/>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1412"/>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7B7188" w:rsidRPr="00E64371" w:rsidRDefault="007B7188" w:rsidP="00C01246">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7B7188" w:rsidRDefault="007B7188" w:rsidP="00C01246">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Pr="00A8044E">
              <w:rPr>
                <w:rFonts w:asciiTheme="minorHAnsi" w:hAnsiTheme="minorHAnsi" w:cstheme="minorHAnsi"/>
                <w:color w:val="000000"/>
              </w:rPr>
              <w:t>para la pr</w:t>
            </w:r>
            <w:r>
              <w:rPr>
                <w:rFonts w:asciiTheme="minorHAnsi" w:hAnsiTheme="minorHAnsi" w:cstheme="minorHAnsi"/>
                <w:color w:val="000000"/>
              </w:rPr>
              <w:t>estación</w:t>
            </w:r>
            <w:r w:rsidRPr="00A8044E">
              <w:rPr>
                <w:rFonts w:asciiTheme="minorHAnsi" w:hAnsiTheme="minorHAnsi" w:cstheme="minorHAnsi"/>
                <w:color w:val="000000"/>
              </w:rPr>
              <w:t xml:space="preserve"> de </w:t>
            </w:r>
            <w:r w:rsidRPr="00D136E1">
              <w:rPr>
                <w:rFonts w:asciiTheme="minorHAnsi" w:hAnsiTheme="minorHAnsi" w:cstheme="minorHAnsi"/>
                <w:b/>
                <w:color w:val="000000"/>
              </w:rPr>
              <w:t>“</w:t>
            </w:r>
            <w:r w:rsidRPr="00D136E1">
              <w:rPr>
                <w:rFonts w:asciiTheme="minorHAnsi" w:eastAsia="Times New Roman" w:hAnsiTheme="minorHAnsi"/>
                <w:b/>
                <w:bCs/>
                <w:sz w:val="24"/>
                <w:szCs w:val="24"/>
                <w:lang w:eastAsia="es-EC"/>
              </w:rPr>
              <w:t xml:space="preserve">SERVICIOS </w:t>
            </w:r>
            <w:r>
              <w:rPr>
                <w:rFonts w:asciiTheme="minorHAnsi" w:eastAsia="Times New Roman" w:hAnsiTheme="minorHAnsi"/>
                <w:b/>
                <w:bCs/>
                <w:sz w:val="24"/>
                <w:szCs w:val="24"/>
                <w:lang w:eastAsia="es-EC"/>
              </w:rPr>
              <w:t>DE LIMPIEZA</w:t>
            </w:r>
            <w:r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 proveedor para la provisión</w:t>
            </w:r>
            <w:r>
              <w:rPr>
                <w:rFonts w:asciiTheme="minorHAnsi" w:eastAsia="Times New Roman" w:hAnsiTheme="minorHAnsi"/>
              </w:rPr>
              <w:t xml:space="preserve"> del o los servicios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Pr>
                <w:rFonts w:asciiTheme="minorHAnsi" w:eastAsia="Times New Roman" w:hAnsiTheme="minorHAnsi"/>
              </w:rPr>
              <w:t xml:space="preserve">los términos de referencia </w:t>
            </w:r>
            <w:r w:rsidRPr="00A8044E">
              <w:rPr>
                <w:rFonts w:asciiTheme="minorHAnsi" w:eastAsia="Times New Roman" w:hAnsiTheme="minorHAnsi"/>
              </w:rPr>
              <w:t>y condiciones económ</w:t>
            </w:r>
            <w:r>
              <w:rPr>
                <w:rFonts w:asciiTheme="minorHAnsi" w:eastAsia="Times New Roman" w:hAnsiTheme="minorHAnsi"/>
              </w:rPr>
              <w:t>icas previstas en el pliego y en las fichas técnicas del servicio específico</w:t>
            </w:r>
            <w:r w:rsidRPr="00A8044E">
              <w:rPr>
                <w:rFonts w:asciiTheme="minorHAnsi" w:eastAsia="Times New Roman" w:hAnsiTheme="minorHAnsi"/>
              </w:rPr>
              <w:t>, por lo que, con la suscripción del presente formulario me adhiero a las mismas.</w:t>
            </w:r>
          </w:p>
          <w:p w:rsidR="007B7188" w:rsidRPr="00A8044E" w:rsidRDefault="007B7188" w:rsidP="00C01246">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mi voluntad de permanecer en el Catálogo Dinámico Inclusivo en caso de que el SERCOP actualice las especificaciones o las condiciones económicas previstas en la ficha técnica específica del o los servicios los que me adhiero (que oferto), siempre que éstas no me afecten o me resulten favorables, sin la necesidad de suscribir un nuevo acuerdo de compromiso o formulario de adhesión. </w:t>
            </w:r>
          </w:p>
          <w:p w:rsidR="007B7188" w:rsidRPr="00A8044E" w:rsidRDefault="007B7188" w:rsidP="00C01246">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7B7188" w:rsidRPr="00A8044E" w:rsidRDefault="007B7188" w:rsidP="00C01246">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7B7188" w:rsidRPr="00A8044E" w:rsidRDefault="007B7188" w:rsidP="00C01246">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2432"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2432"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Nombre de Prove</w:t>
            </w:r>
            <w:r>
              <w:rPr>
                <w:rFonts w:asciiTheme="minorHAnsi" w:eastAsia="Times New Roman" w:hAnsiTheme="minorHAnsi" w:cs="Calibri"/>
                <w:b/>
                <w:lang w:eastAsia="es-EC"/>
              </w:rPr>
              <w:t>e</w:t>
            </w:r>
            <w:r w:rsidRPr="00A8044E">
              <w:rPr>
                <w:rFonts w:asciiTheme="minorHAnsi" w:eastAsia="Times New Roman" w:hAnsiTheme="minorHAnsi" w:cs="Calibri"/>
                <w:b/>
                <w:lang w:eastAsia="es-EC"/>
              </w:rPr>
              <w:t xml:space="preser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2432"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2432"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2432" w:type="dxa"/>
            <w:tcBorders>
              <w:top w:val="nil"/>
              <w:left w:val="nil"/>
              <w:bottom w:val="nil"/>
              <w:right w:val="nil"/>
            </w:tcBorders>
          </w:tcPr>
          <w:p w:rsidR="007B7188" w:rsidRPr="00A8044E" w:rsidRDefault="007B7188" w:rsidP="00C01246">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7B7188" w:rsidRPr="00A8044E" w:rsidRDefault="007B7188" w:rsidP="00C01246">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2432"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Fecha: </w:t>
            </w:r>
          </w:p>
        </w:tc>
        <w:tc>
          <w:tcPr>
            <w:tcW w:w="284"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7B7188" w:rsidRPr="00A8044E" w:rsidRDefault="007B7188" w:rsidP="00C01246">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7B7188" w:rsidRPr="00A8044E" w:rsidRDefault="007B7188" w:rsidP="00C01246">
            <w:pPr>
              <w:tabs>
                <w:tab w:val="left" w:pos="-567"/>
                <w:tab w:val="left" w:pos="567"/>
              </w:tabs>
              <w:jc w:val="both"/>
              <w:rPr>
                <w:rFonts w:asciiTheme="minorHAnsi" w:eastAsia="Times New Roman" w:hAnsiTheme="minorHAnsi" w:cs="Calibri"/>
                <w:lang w:eastAsia="es-EC"/>
              </w:rPr>
            </w:pPr>
          </w:p>
          <w:p w:rsidR="007B7188" w:rsidRPr="00A8044E" w:rsidRDefault="007B7188" w:rsidP="00C01246">
            <w:pPr>
              <w:tabs>
                <w:tab w:val="left" w:pos="-567"/>
                <w:tab w:val="left" w:pos="567"/>
              </w:tabs>
              <w:jc w:val="both"/>
              <w:rPr>
                <w:rFonts w:asciiTheme="minorHAnsi" w:eastAsia="Times New Roman" w:hAnsiTheme="minorHAnsi" w:cs="Calibri"/>
                <w:lang w:eastAsia="es-EC"/>
              </w:rPr>
            </w:pPr>
          </w:p>
          <w:p w:rsidR="007B7188" w:rsidRPr="00A8044E" w:rsidRDefault="007B7188" w:rsidP="00C01246">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bl>
    <w:p w:rsidR="007B7188" w:rsidRDefault="007B7188" w:rsidP="007B7188">
      <w:pPr>
        <w:tabs>
          <w:tab w:val="left" w:pos="708"/>
        </w:tabs>
        <w:autoSpaceDE w:val="0"/>
        <w:autoSpaceDN w:val="0"/>
        <w:adjustRightInd w:val="0"/>
        <w:spacing w:after="0"/>
        <w:jc w:val="center"/>
        <w:rPr>
          <w:rFonts w:asciiTheme="minorHAnsi" w:eastAsia="Times New Roman" w:hAnsiTheme="minorHAnsi"/>
          <w:b/>
          <w:bCs/>
          <w:lang w:eastAsia="es-EC"/>
        </w:rPr>
      </w:pPr>
    </w:p>
    <w:p w:rsidR="007B7188" w:rsidRDefault="007B7188" w:rsidP="007B7188">
      <w:pPr>
        <w:rPr>
          <w:rFonts w:asciiTheme="minorHAnsi" w:eastAsia="Times New Roman" w:hAnsiTheme="minorHAnsi"/>
          <w:b/>
          <w:kern w:val="36"/>
          <w:lang w:eastAsia="es-EC"/>
        </w:rPr>
      </w:pPr>
      <w:r>
        <w:rPr>
          <w:rFonts w:asciiTheme="minorHAnsi" w:hAnsiTheme="minorHAnsi"/>
          <w:bCs/>
        </w:rPr>
        <w:br w:type="page"/>
      </w:r>
    </w:p>
    <w:p w:rsidR="007B7188" w:rsidRDefault="007B7188" w:rsidP="007B7188">
      <w:pPr>
        <w:pStyle w:val="Ttulo1"/>
        <w:rPr>
          <w:rFonts w:asciiTheme="minorHAnsi" w:hAnsiTheme="minorHAnsi"/>
          <w:bCs w:val="0"/>
          <w:sz w:val="22"/>
          <w:szCs w:val="22"/>
        </w:rPr>
      </w:pPr>
    </w:p>
    <w:p w:rsidR="007B7188" w:rsidRPr="00ED57D8" w:rsidRDefault="007B7188" w:rsidP="007B7188">
      <w:pPr>
        <w:pStyle w:val="Ttulo1"/>
        <w:rPr>
          <w:rFonts w:asciiTheme="minorHAnsi" w:hAnsiTheme="minorHAnsi"/>
          <w:bCs w:val="0"/>
          <w:sz w:val="22"/>
          <w:szCs w:val="22"/>
        </w:rPr>
      </w:pPr>
      <w:r w:rsidRPr="00ED57D8">
        <w:rPr>
          <w:rFonts w:asciiTheme="minorHAnsi" w:hAnsiTheme="minorHAnsi"/>
          <w:bCs w:val="0"/>
          <w:sz w:val="22"/>
          <w:szCs w:val="22"/>
        </w:rPr>
        <w:t>4.2 FORMULARIO DE COMPROMISO DE ASO</w:t>
      </w:r>
      <w:r>
        <w:rPr>
          <w:rFonts w:asciiTheme="minorHAnsi" w:hAnsiTheme="minorHAnsi"/>
          <w:bCs w:val="0"/>
          <w:sz w:val="22"/>
          <w:szCs w:val="22"/>
        </w:rPr>
        <w:t>CIA</w:t>
      </w:r>
      <w:r w:rsidRPr="00ED57D8">
        <w:rPr>
          <w:rFonts w:asciiTheme="minorHAnsi" w:hAnsiTheme="minorHAnsi"/>
          <w:bCs w:val="0"/>
          <w:sz w:val="22"/>
          <w:szCs w:val="22"/>
        </w:rPr>
        <w:t>CIÓN O CONSORCIO (DE SER EL CASO)</w:t>
      </w:r>
    </w:p>
    <w:p w:rsidR="007B7188" w:rsidRDefault="007B7188" w:rsidP="007B7188">
      <w:pPr>
        <w:tabs>
          <w:tab w:val="left" w:pos="708"/>
        </w:tabs>
        <w:autoSpaceDE w:val="0"/>
        <w:autoSpaceDN w:val="0"/>
        <w:adjustRightInd w:val="0"/>
        <w:spacing w:after="0"/>
        <w:jc w:val="center"/>
        <w:rPr>
          <w:rFonts w:asciiTheme="minorHAnsi" w:eastAsia="Times New Roman" w:hAnsiTheme="minorHAnsi"/>
          <w:b/>
          <w:bCs/>
          <w:lang w:eastAsia="es-EC"/>
        </w:rPr>
      </w:pPr>
    </w:p>
    <w:p w:rsidR="007B7188" w:rsidRDefault="007B7188" w:rsidP="007B7188">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7B7188" w:rsidRPr="00A8044E" w:rsidRDefault="007B7188" w:rsidP="007B7188">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7B7188" w:rsidRPr="00A8044E" w:rsidRDefault="007B7188" w:rsidP="007B7188">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Pr>
          <w:rFonts w:asciiTheme="minorHAnsi" w:eastAsiaTheme="minorHAnsi" w:hAnsiTheme="minorHAnsi" w:cs="Calibri"/>
          <w:color w:val="000000"/>
        </w:rPr>
        <w:t>006-</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7B7188" w:rsidRPr="00A8044E" w:rsidRDefault="007B7188" w:rsidP="007B7188">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7B7188" w:rsidRPr="00A8044E" w:rsidRDefault="007B7188" w:rsidP="007B7188">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7B7188" w:rsidRDefault="007B7188" w:rsidP="007B718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7B7188" w:rsidRPr="00A8044E" w:rsidRDefault="007B7188" w:rsidP="007B7188">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7B7188" w:rsidRPr="00A8044E" w:rsidTr="00C0124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B7188" w:rsidRPr="00A8044E" w:rsidRDefault="007B7188" w:rsidP="00C01246">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7B7188" w:rsidRPr="00A8044E" w:rsidRDefault="007B7188" w:rsidP="00C01246">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B7188" w:rsidRPr="00A8044E" w:rsidRDefault="007B7188" w:rsidP="00C01246">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B7188" w:rsidRPr="00A8044E" w:rsidRDefault="007B7188" w:rsidP="00C01246">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7B7188" w:rsidRPr="00A8044E" w:rsidRDefault="007B7188" w:rsidP="00C01246">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7B7188" w:rsidRPr="00A8044E" w:rsidTr="00C0124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r>
      <w:tr w:rsidR="007B7188" w:rsidRPr="00A8044E" w:rsidTr="00C0124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r>
      <w:tr w:rsidR="007B7188" w:rsidRPr="00A8044E" w:rsidTr="00C0124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r>
      <w:tr w:rsidR="007B7188" w:rsidRPr="00A8044E" w:rsidTr="00C0124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r>
      <w:tr w:rsidR="007B7188" w:rsidRPr="00A8044E" w:rsidTr="00C0124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r>
      <w:tr w:rsidR="007B7188" w:rsidRPr="00A8044E" w:rsidTr="00C0124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r>
      <w:tr w:rsidR="007B7188" w:rsidRPr="00A8044E" w:rsidTr="00C01246">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7B7188" w:rsidRPr="00A8044E" w:rsidRDefault="007B7188" w:rsidP="00C01246">
            <w:pPr>
              <w:rPr>
                <w:rFonts w:asciiTheme="minorHAnsi" w:eastAsia="Times New Roman" w:hAnsiTheme="minorHAnsi"/>
                <w:b/>
                <w:bCs/>
                <w:lang w:eastAsia="es-EC"/>
              </w:rPr>
            </w:pPr>
          </w:p>
        </w:tc>
      </w:tr>
      <w:tr w:rsidR="007B7188" w:rsidRPr="00A8044E" w:rsidTr="00C01246">
        <w:trPr>
          <w:trHeight w:val="294"/>
        </w:trPr>
        <w:tc>
          <w:tcPr>
            <w:tcW w:w="82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7B7188" w:rsidRPr="00A8044E" w:rsidRDefault="007B7188" w:rsidP="00C01246">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bl>
    <w:p w:rsidR="007B7188" w:rsidRDefault="007B7188" w:rsidP="007B718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tcBorders>
              <w:top w:val="nil"/>
              <w:left w:val="nil"/>
              <w:bottom w:val="nil"/>
              <w:right w:val="nil"/>
            </w:tcBorders>
          </w:tcPr>
          <w:p w:rsidR="007B7188" w:rsidRDefault="007B7188" w:rsidP="00C01246">
            <w:pPr>
              <w:tabs>
                <w:tab w:val="left" w:pos="708"/>
              </w:tabs>
              <w:autoSpaceDE w:val="0"/>
              <w:autoSpaceDN w:val="0"/>
              <w:adjustRightInd w:val="0"/>
              <w:jc w:val="center"/>
              <w:rPr>
                <w:rFonts w:asciiTheme="minorHAnsi" w:eastAsia="Times New Roman" w:hAnsiTheme="minorHAnsi"/>
                <w:b/>
                <w:bCs/>
                <w:lang w:eastAsia="es-EC"/>
              </w:rPr>
            </w:pPr>
          </w:p>
          <w:p w:rsidR="007B7188" w:rsidRDefault="007B7188" w:rsidP="00C01246">
            <w:pPr>
              <w:tabs>
                <w:tab w:val="left" w:pos="708"/>
              </w:tabs>
              <w:autoSpaceDE w:val="0"/>
              <w:autoSpaceDN w:val="0"/>
              <w:adjustRightInd w:val="0"/>
              <w:jc w:val="center"/>
              <w:rPr>
                <w:rFonts w:asciiTheme="minorHAnsi" w:eastAsia="Times New Roman" w:hAnsiTheme="minorHAnsi"/>
                <w:b/>
                <w:bCs/>
                <w:lang w:eastAsia="es-EC"/>
              </w:rPr>
            </w:pPr>
          </w:p>
          <w:p w:rsidR="007B7188" w:rsidRPr="00A8044E" w:rsidRDefault="007B7188" w:rsidP="00C01246">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477"/>
        </w:trPr>
        <w:tc>
          <w:tcPr>
            <w:tcW w:w="839" w:type="dxa"/>
            <w:tcBorders>
              <w:top w:val="nil"/>
              <w:left w:val="nil"/>
              <w:bottom w:val="nil"/>
              <w:right w:val="nil"/>
            </w:tcBorders>
          </w:tcPr>
          <w:p w:rsidR="007B7188" w:rsidRPr="00A8044E" w:rsidRDefault="007B7188" w:rsidP="00C01246">
            <w:pPr>
              <w:pStyle w:val="Ttulo1"/>
              <w:outlineLvl w:val="0"/>
              <w:rPr>
                <w:rFonts w:asciiTheme="minorHAnsi" w:hAnsiTheme="minorHAnsi"/>
              </w:rPr>
            </w:pPr>
          </w:p>
        </w:tc>
        <w:tc>
          <w:tcPr>
            <w:tcW w:w="8720" w:type="dxa"/>
            <w:tcBorders>
              <w:top w:val="nil"/>
              <w:left w:val="nil"/>
              <w:bottom w:val="nil"/>
              <w:right w:val="nil"/>
            </w:tcBorders>
          </w:tcPr>
          <w:p w:rsidR="007B7188" w:rsidRPr="00CB50A2" w:rsidRDefault="007B7188" w:rsidP="00C01246">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7B7188" w:rsidRPr="00A8044E" w:rsidRDefault="007B7188" w:rsidP="00C01246">
            <w:pPr>
              <w:pStyle w:val="Ttulo1"/>
              <w:outlineLvl w:val="0"/>
              <w:rPr>
                <w:rFonts w:asciiTheme="minorHAnsi" w:hAnsiTheme="minorHAnsi"/>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tcBorders>
              <w:top w:val="nil"/>
              <w:left w:val="nil"/>
              <w:bottom w:val="nil"/>
              <w:right w:val="nil"/>
            </w:tcBorders>
          </w:tcPr>
          <w:p w:rsidR="007B7188" w:rsidRPr="00A8044E" w:rsidRDefault="007B7188" w:rsidP="00C01246">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tcBorders>
              <w:top w:val="nil"/>
              <w:left w:val="nil"/>
              <w:bottom w:val="nil"/>
              <w:right w:val="nil"/>
            </w:tcBorders>
          </w:tcPr>
          <w:p w:rsidR="007B7188" w:rsidRPr="00A8044E" w:rsidRDefault="007B7188" w:rsidP="00C01246">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tcBorders>
              <w:top w:val="nil"/>
              <w:left w:val="nil"/>
              <w:bottom w:val="nil"/>
              <w:right w:val="nil"/>
            </w:tcBorders>
          </w:tcPr>
          <w:p w:rsidR="007B7188" w:rsidRPr="00A8044E" w:rsidRDefault="007B7188" w:rsidP="00C01246">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tcBorders>
              <w:top w:val="nil"/>
              <w:left w:val="nil"/>
              <w:bottom w:val="nil"/>
              <w:right w:val="nil"/>
            </w:tcBorders>
          </w:tcPr>
          <w:p w:rsidR="007B7188" w:rsidRPr="002600FF" w:rsidRDefault="007B7188" w:rsidP="00C01246">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Pr>
                <w:rFonts w:asciiTheme="minorHAnsi" w:eastAsiaTheme="minorHAnsi" w:hAnsiTheme="minorHAnsi" w:cs="Calibri"/>
                <w:b/>
                <w:color w:val="000000"/>
              </w:rPr>
              <w:t>006-</w:t>
            </w:r>
            <w:r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tcBorders>
              <w:top w:val="nil"/>
              <w:left w:val="nil"/>
              <w:bottom w:val="nil"/>
              <w:right w:val="nil"/>
            </w:tcBorders>
          </w:tcPr>
          <w:p w:rsidR="007B7188" w:rsidRPr="002600FF" w:rsidRDefault="007B7188" w:rsidP="00C01246">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Acuerdo de Compromiso, para la selección de proveedores para la provisión de </w:t>
            </w:r>
            <w:r w:rsidRPr="00D136E1">
              <w:rPr>
                <w:rFonts w:asciiTheme="minorHAnsi" w:eastAsiaTheme="minorHAnsi" w:hAnsiTheme="minorHAnsi" w:cs="Calibri"/>
                <w:b/>
                <w:color w:val="000000"/>
              </w:rPr>
              <w:t>“</w:t>
            </w:r>
            <w:r w:rsidRPr="00D136E1">
              <w:rPr>
                <w:rFonts w:asciiTheme="minorHAnsi" w:eastAsia="Times New Roman" w:hAnsiTheme="minorHAnsi"/>
                <w:b/>
                <w:bCs/>
                <w:sz w:val="24"/>
                <w:szCs w:val="24"/>
                <w:lang w:eastAsia="es-EC"/>
              </w:rPr>
              <w:t xml:space="preserve">SERVICIOS </w:t>
            </w:r>
            <w:r>
              <w:rPr>
                <w:rFonts w:asciiTheme="minorHAnsi" w:eastAsia="Times New Roman" w:hAnsiTheme="minorHAnsi"/>
                <w:b/>
                <w:bCs/>
                <w:sz w:val="24"/>
                <w:szCs w:val="24"/>
                <w:lang w:eastAsia="es-EC"/>
              </w:rPr>
              <w:t>DE LIMPIEZA</w:t>
            </w:r>
            <w:r w:rsidRPr="00D136E1">
              <w:rPr>
                <w:rFonts w:asciiTheme="minorHAnsi" w:eastAsiaTheme="minorHAnsi" w:hAnsiTheme="minorHAnsi" w:cs="Calibri"/>
                <w:b/>
                <w:color w:val="000000"/>
              </w:rPr>
              <w:t>”</w:t>
            </w:r>
            <w:r w:rsidRPr="002600FF">
              <w:rPr>
                <w:rFonts w:asciiTheme="minorHAnsi" w:eastAsiaTheme="minorHAnsi" w:hAnsiTheme="minorHAnsi" w:cs="Calibri"/>
                <w:color w:val="000000"/>
              </w:rPr>
              <w:t xml:space="preserve"> 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adelante y para efectos del presente Acuerdo se le denominará “SERCOP” y, por otra parte el/la señor (a) &lt;&lt;Nombre del Proveedor/Representante Legal&gt;&gt;, (en</w:t>
            </w:r>
            <w:r>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Pr>
                <w:rFonts w:asciiTheme="minorHAnsi" w:eastAsiaTheme="minorHAnsi" w:hAnsiTheme="minorHAnsi" w:cs="Calibri"/>
                <w:color w:val="000000"/>
              </w:rPr>
              <w:t>.</w:t>
            </w:r>
          </w:p>
          <w:p w:rsidR="007B7188" w:rsidRPr="002600FF" w:rsidRDefault="007B7188" w:rsidP="00C01246">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r w:rsidR="007B7188" w:rsidRPr="00A8044E" w:rsidTr="00C01246">
        <w:trPr>
          <w:trHeight w:val="294"/>
        </w:trPr>
        <w:tc>
          <w:tcPr>
            <w:tcW w:w="839" w:type="dxa"/>
            <w:tcBorders>
              <w:top w:val="nil"/>
              <w:left w:val="nil"/>
              <w:bottom w:val="nil"/>
              <w:right w:val="nil"/>
            </w:tcBorders>
          </w:tcPr>
          <w:p w:rsidR="007B7188" w:rsidRPr="00A8044E" w:rsidRDefault="007B7188" w:rsidP="00C01246">
            <w:pPr>
              <w:jc w:val="both"/>
              <w:rPr>
                <w:rFonts w:asciiTheme="minorHAnsi" w:eastAsia="Times New Roman" w:hAnsiTheme="minorHAnsi"/>
                <w:lang w:eastAsia="es-EC"/>
              </w:rPr>
            </w:pPr>
          </w:p>
        </w:tc>
        <w:tc>
          <w:tcPr>
            <w:tcW w:w="8720" w:type="dxa"/>
            <w:tcBorders>
              <w:top w:val="nil"/>
              <w:left w:val="nil"/>
              <w:bottom w:val="nil"/>
              <w:right w:val="nil"/>
            </w:tcBorders>
          </w:tcPr>
          <w:p w:rsidR="007B7188" w:rsidRDefault="007B7188" w:rsidP="00C01246">
            <w:pPr>
              <w:tabs>
                <w:tab w:val="left" w:pos="708"/>
              </w:tabs>
              <w:autoSpaceDE w:val="0"/>
              <w:autoSpaceDN w:val="0"/>
              <w:adjustRightInd w:val="0"/>
              <w:jc w:val="both"/>
              <w:rPr>
                <w:rFonts w:asciiTheme="minorHAnsi" w:hAnsiTheme="minorHAnsi" w:cs="Calibri"/>
                <w:b/>
                <w:bCs/>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7B7188" w:rsidRPr="00D01D0F" w:rsidRDefault="007B7188" w:rsidP="00C01246">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1.1.- </w:t>
            </w:r>
            <w:r w:rsidRPr="00D01D0F">
              <w:rPr>
                <w:rFonts w:cs="Calibri"/>
                <w:color w:val="000000"/>
              </w:rPr>
              <w:t>La Ley Orgánica Reformatoria a la Ley Orgánica del Sistema Nacional de Contratación Pública</w:t>
            </w:r>
            <w:r w:rsidRPr="00E27610">
              <w:rPr>
                <w:color w:val="050505"/>
              </w:rPr>
              <w:t>,</w:t>
            </w:r>
            <w:r w:rsidRPr="00E27610">
              <w:rPr>
                <w:color w:val="050505"/>
                <w:spacing w:val="8"/>
              </w:rPr>
              <w:t xml:space="preserve"> </w:t>
            </w:r>
            <w:r w:rsidRPr="00E27610">
              <w:rPr>
                <w:color w:val="050505"/>
              </w:rPr>
              <w:t>publicada</w:t>
            </w:r>
            <w:r w:rsidRPr="00E27610">
              <w:rPr>
                <w:color w:val="050505"/>
                <w:spacing w:val="4"/>
              </w:rPr>
              <w:t xml:space="preserve"> </w:t>
            </w:r>
            <w:r w:rsidRPr="00E27610">
              <w:rPr>
                <w:color w:val="050505"/>
              </w:rPr>
              <w:t>en el</w:t>
            </w:r>
            <w:r w:rsidRPr="00E27610">
              <w:rPr>
                <w:color w:val="050505"/>
                <w:spacing w:val="6"/>
              </w:rPr>
              <w:t xml:space="preserve"> </w:t>
            </w:r>
            <w:r w:rsidRPr="00E27610">
              <w:rPr>
                <w:color w:val="050505"/>
              </w:rPr>
              <w:t>segundo</w:t>
            </w:r>
            <w:r w:rsidRPr="00E27610">
              <w:rPr>
                <w:color w:val="050505"/>
                <w:spacing w:val="-3"/>
              </w:rPr>
              <w:t xml:space="preserve"> </w:t>
            </w:r>
            <w:r w:rsidRPr="00E27610">
              <w:rPr>
                <w:color w:val="050505"/>
              </w:rPr>
              <w:t>suplemento</w:t>
            </w:r>
            <w:r w:rsidRPr="00E27610">
              <w:rPr>
                <w:color w:val="050505"/>
                <w:spacing w:val="-14"/>
              </w:rPr>
              <w:t xml:space="preserve"> </w:t>
            </w:r>
            <w:r w:rsidRPr="00E27610">
              <w:rPr>
                <w:color w:val="050505"/>
              </w:rPr>
              <w:t>del</w:t>
            </w:r>
            <w:r w:rsidRPr="00E27610">
              <w:rPr>
                <w:color w:val="050505"/>
                <w:spacing w:val="-7"/>
              </w:rPr>
              <w:t xml:space="preserve"> </w:t>
            </w:r>
            <w:r w:rsidRPr="00E27610">
              <w:rPr>
                <w:color w:val="050505"/>
              </w:rPr>
              <w:t>Registro</w:t>
            </w:r>
            <w:r w:rsidRPr="00E27610">
              <w:rPr>
                <w:color w:val="050505"/>
                <w:spacing w:val="-1"/>
              </w:rPr>
              <w:t xml:space="preserve"> </w:t>
            </w:r>
            <w:r w:rsidRPr="00E27610">
              <w:rPr>
                <w:color w:val="050505"/>
              </w:rPr>
              <w:t>Oficial</w:t>
            </w:r>
            <w:r w:rsidRPr="00E27610">
              <w:rPr>
                <w:color w:val="050505"/>
                <w:spacing w:val="-11"/>
              </w:rPr>
              <w:t xml:space="preserve"> </w:t>
            </w:r>
            <w:r w:rsidRPr="00E27610">
              <w:rPr>
                <w:color w:val="050505"/>
              </w:rPr>
              <w:t>No.</w:t>
            </w:r>
            <w:r w:rsidRPr="00E27610">
              <w:rPr>
                <w:color w:val="050505"/>
                <w:spacing w:val="32"/>
              </w:rPr>
              <w:t xml:space="preserve"> </w:t>
            </w:r>
            <w:r w:rsidRPr="00E27610">
              <w:rPr>
                <w:color w:val="050505"/>
              </w:rPr>
              <w:t>100,</w:t>
            </w:r>
            <w:r w:rsidRPr="00E27610">
              <w:rPr>
                <w:color w:val="050505"/>
                <w:spacing w:val="-15"/>
              </w:rPr>
              <w:t xml:space="preserve"> </w:t>
            </w:r>
            <w:r w:rsidRPr="00E27610">
              <w:rPr>
                <w:color w:val="050505"/>
              </w:rPr>
              <w:t>de</w:t>
            </w:r>
            <w:r w:rsidRPr="00E27610">
              <w:rPr>
                <w:color w:val="050505"/>
                <w:spacing w:val="25"/>
              </w:rPr>
              <w:t xml:space="preserve"> </w:t>
            </w:r>
            <w:r w:rsidRPr="00E27610">
              <w:rPr>
                <w:color w:val="050505"/>
              </w:rPr>
              <w:t>14</w:t>
            </w:r>
            <w:r w:rsidRPr="00E27610">
              <w:rPr>
                <w:color w:val="050505"/>
                <w:spacing w:val="-19"/>
              </w:rPr>
              <w:t xml:space="preserve"> </w:t>
            </w:r>
            <w:r w:rsidRPr="00E27610">
              <w:rPr>
                <w:color w:val="050505"/>
              </w:rPr>
              <w:t>de octubre de</w:t>
            </w:r>
            <w:r w:rsidRPr="00E27610">
              <w:rPr>
                <w:color w:val="050505"/>
                <w:spacing w:val="7"/>
              </w:rPr>
              <w:t xml:space="preserve"> </w:t>
            </w:r>
            <w:r w:rsidRPr="00E27610">
              <w:rPr>
                <w:color w:val="050505"/>
              </w:rPr>
              <w:t xml:space="preserve">2013, </w:t>
            </w:r>
            <w:r w:rsidRPr="00D01D0F">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7B7188" w:rsidRPr="00D01D0F" w:rsidRDefault="007B7188" w:rsidP="00C01246">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1.2.- </w:t>
            </w:r>
            <w:r w:rsidRPr="00D01D0F">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7B7188" w:rsidRDefault="007B7188" w:rsidP="00C01246">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7B7188" w:rsidRPr="002600FF" w:rsidRDefault="007B7188" w:rsidP="00C01246">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w:t>
            </w:r>
            <w:r>
              <w:rPr>
                <w:rFonts w:cs="Calibri"/>
                <w:bCs/>
                <w:color w:val="000000"/>
              </w:rPr>
              <w:t xml:space="preserve"> servicio</w:t>
            </w:r>
            <w:r w:rsidRPr="002600FF">
              <w:rPr>
                <w:rFonts w:cs="Calibri"/>
                <w:color w:val="000000"/>
              </w:rPr>
              <w:t>, por Catálogo Dinámico Inclusivo.</w:t>
            </w:r>
          </w:p>
          <w:p w:rsidR="007B7188" w:rsidRPr="002600FF" w:rsidRDefault="007B7188" w:rsidP="00C01246">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Pr>
                <w:rFonts w:asciiTheme="minorHAnsi" w:hAnsiTheme="minorHAnsi" w:cs="Calibri"/>
                <w:color w:val="000000"/>
              </w:rPr>
              <w:t xml:space="preserve">servicio </w:t>
            </w:r>
            <w:r w:rsidRPr="002600FF">
              <w:rPr>
                <w:rFonts w:asciiTheme="minorHAnsi" w:hAnsiTheme="minorHAnsi" w:cs="Calibri"/>
                <w:color w:val="000000"/>
              </w:rPr>
              <w:t>objeto del presente Acuerdo de Compromiso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Acuerdo de compromiso con  &lt;&lt;Nombre de persona natural o jurídica&gt;&gt;.</w:t>
            </w:r>
          </w:p>
          <w:p w:rsidR="007B7188" w:rsidRDefault="007B7188" w:rsidP="00C01246">
            <w:pPr>
              <w:tabs>
                <w:tab w:val="left" w:pos="708"/>
              </w:tabs>
              <w:autoSpaceDE w:val="0"/>
              <w:autoSpaceDN w:val="0"/>
              <w:adjustRightInd w:val="0"/>
              <w:jc w:val="both"/>
              <w:rPr>
                <w:rFonts w:asciiTheme="minorHAnsi" w:hAnsiTheme="minorHAnsi" w:cs="Calibri"/>
                <w:b/>
                <w:bCs/>
                <w:color w:val="000000"/>
              </w:rPr>
            </w:pPr>
          </w:p>
          <w:p w:rsidR="007B7188" w:rsidRPr="00A8044E" w:rsidRDefault="007B7188" w:rsidP="00C01246">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7B7188" w:rsidRDefault="007B7188" w:rsidP="00C01246">
            <w:pPr>
              <w:tabs>
                <w:tab w:val="left" w:pos="708"/>
              </w:tabs>
              <w:autoSpaceDE w:val="0"/>
              <w:autoSpaceDN w:val="0"/>
              <w:adjustRightInd w:val="0"/>
              <w:jc w:val="both"/>
              <w:rPr>
                <w:rFonts w:asciiTheme="minorHAnsi" w:hAnsiTheme="minorHAnsi" w:cs="Calibri"/>
                <w:color w:val="000000"/>
              </w:rPr>
            </w:pP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7B7188">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7B7188" w:rsidRPr="00A8044E" w:rsidRDefault="007B7188" w:rsidP="007B7188">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7B7188" w:rsidRPr="00A8044E" w:rsidRDefault="007B7188" w:rsidP="007B7188">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7B7188" w:rsidRPr="00A8044E" w:rsidRDefault="007B7188" w:rsidP="007B7188">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7B7188" w:rsidRPr="00A8044E" w:rsidRDefault="007B7188" w:rsidP="00C01246">
            <w:pPr>
              <w:tabs>
                <w:tab w:val="left" w:pos="1140"/>
              </w:tabs>
              <w:autoSpaceDE w:val="0"/>
              <w:autoSpaceDN w:val="0"/>
              <w:adjustRightInd w:val="0"/>
              <w:ind w:left="714"/>
              <w:jc w:val="both"/>
              <w:rPr>
                <w:rFonts w:asciiTheme="minorHAnsi" w:hAnsiTheme="minorHAnsi" w:cs="Calibri"/>
              </w:rPr>
            </w:pP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discrepancia entre lo establecido en el presente Acuerdo de Compromiso y el pliego, prevalecerán las cláusulas de este instrumento.</w:t>
            </w:r>
          </w:p>
          <w:p w:rsidR="007B7188" w:rsidRDefault="007B7188" w:rsidP="00C01246">
            <w:pPr>
              <w:tabs>
                <w:tab w:val="left" w:pos="708"/>
              </w:tabs>
              <w:autoSpaceDE w:val="0"/>
              <w:autoSpaceDN w:val="0"/>
              <w:adjustRightInd w:val="0"/>
              <w:jc w:val="both"/>
              <w:rPr>
                <w:rFonts w:asciiTheme="minorHAnsi" w:hAnsiTheme="minorHAnsi" w:cs="Calibri"/>
                <w:b/>
                <w:bCs/>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Pr="00D136E1">
              <w:rPr>
                <w:rFonts w:asciiTheme="minorHAnsi" w:eastAsiaTheme="minorHAnsi" w:hAnsiTheme="minorHAnsi" w:cs="Calibri"/>
                <w:b/>
                <w:color w:val="000000"/>
              </w:rPr>
              <w:t>“</w:t>
            </w:r>
            <w:r w:rsidRPr="00D136E1">
              <w:rPr>
                <w:rFonts w:asciiTheme="minorHAnsi" w:eastAsia="Times New Roman" w:hAnsiTheme="minorHAnsi"/>
                <w:b/>
                <w:bCs/>
                <w:sz w:val="24"/>
                <w:szCs w:val="24"/>
                <w:lang w:eastAsia="es-EC"/>
              </w:rPr>
              <w:t xml:space="preserve">SERVICIOS </w:t>
            </w:r>
            <w:r>
              <w:rPr>
                <w:rFonts w:asciiTheme="minorHAnsi" w:eastAsia="Times New Roman" w:hAnsiTheme="minorHAnsi"/>
                <w:b/>
                <w:bCs/>
                <w:sz w:val="24"/>
                <w:szCs w:val="24"/>
                <w:lang w:eastAsia="es-EC"/>
              </w:rPr>
              <w:t>DE LIMPIEZA</w:t>
            </w:r>
            <w:r w:rsidRPr="00D136E1">
              <w:rPr>
                <w:rFonts w:asciiTheme="minorHAnsi" w:eastAsiaTheme="minorHAnsi" w:hAnsiTheme="minorHAnsi" w:cs="Calibri"/>
                <w:b/>
                <w:color w:val="000000"/>
              </w:rPr>
              <w:t>”</w:t>
            </w:r>
            <w:r>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w:t>
            </w:r>
            <w:r>
              <w:rPr>
                <w:rFonts w:asciiTheme="minorHAnsi" w:hAnsiTheme="minorHAnsi" w:cs="Calibri"/>
                <w:color w:val="000000"/>
              </w:rPr>
              <w:t xml:space="preserve"> servicio</w:t>
            </w:r>
            <w:r w:rsidRPr="00A8044E">
              <w:rPr>
                <w:rFonts w:asciiTheme="minorHAnsi" w:hAnsiTheme="minorHAnsi" w:cs="Calibri"/>
                <w:color w:val="000000"/>
              </w:rPr>
              <w:t>, por parte de las entidades contratantes.</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 xml:space="preserve">CUARTA: INCLUSIÓN DE NUEVOS </w:t>
            </w:r>
            <w:r>
              <w:rPr>
                <w:rFonts w:asciiTheme="minorHAnsi" w:hAnsiTheme="minorHAnsi" w:cs="Calibri"/>
                <w:b/>
                <w:bCs/>
                <w:color w:val="000000"/>
              </w:rPr>
              <w:t>SERVICIOS</w:t>
            </w:r>
          </w:p>
          <w:p w:rsidR="007B7188" w:rsidRDefault="007B7188" w:rsidP="00C01246">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Pr="00A8044E">
              <w:rPr>
                <w:rFonts w:asciiTheme="minorHAnsi" w:hAnsiTheme="minorHAnsi" w:cs="Calibri"/>
                <w:color w:val="000000"/>
              </w:rPr>
              <w:t xml:space="preserve">l SERCOP, podrá incorporar nuevos </w:t>
            </w:r>
            <w:r>
              <w:rPr>
                <w:rFonts w:asciiTheme="minorHAnsi" w:hAnsiTheme="minorHAnsi" w:cs="Calibri"/>
                <w:color w:val="000000"/>
              </w:rPr>
              <w:t xml:space="preserve">servicios </w:t>
            </w:r>
            <w:r w:rsidRPr="00A8044E">
              <w:rPr>
                <w:rFonts w:asciiTheme="minorHAnsi" w:hAnsiTheme="minorHAnsi" w:cs="Calibri"/>
                <w:color w:val="000000"/>
              </w:rPr>
              <w:t>en categorías existentes, de ser el caso, el proveedor adjudicado podrá presentar la respectiva manifestación de interés, a quien de cumplir con las condiciones de participación establecidas en la ficha del nuevo</w:t>
            </w:r>
            <w:r>
              <w:rPr>
                <w:rFonts w:asciiTheme="minorHAnsi" w:hAnsiTheme="minorHAnsi" w:cs="Calibri"/>
                <w:color w:val="000000"/>
              </w:rPr>
              <w:t xml:space="preserve"> servicio</w:t>
            </w:r>
            <w:r w:rsidRPr="00A8044E">
              <w:rPr>
                <w:rFonts w:asciiTheme="minorHAnsi" w:hAnsiTheme="minorHAnsi" w:cs="Calibri"/>
                <w:color w:val="000000"/>
              </w:rPr>
              <w:t>, será catalogado dentro del mismo.</w:t>
            </w:r>
          </w:p>
          <w:p w:rsidR="007B7188" w:rsidRDefault="007B7188" w:rsidP="00C01246">
            <w:pPr>
              <w:tabs>
                <w:tab w:val="left" w:pos="708"/>
              </w:tabs>
              <w:autoSpaceDE w:val="0"/>
              <w:autoSpaceDN w:val="0"/>
              <w:adjustRightInd w:val="0"/>
              <w:jc w:val="both"/>
              <w:rPr>
                <w:rFonts w:asciiTheme="minorHAnsi" w:hAnsiTheme="minorHAnsi" w:cs="Calibri"/>
                <w:color w:val="000000"/>
              </w:rPr>
            </w:pPr>
          </w:p>
          <w:p w:rsidR="007B7188" w:rsidRDefault="007B7188" w:rsidP="00C01246">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servicio específico en virtud de garantizar la sostenibilidad de la participación de los proveedores en el Catálogo Dinámico Inclusivo.</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Pr>
                <w:rFonts w:asciiTheme="minorHAnsi" w:hAnsiTheme="minorHAnsi" w:cs="Calibri"/>
                <w:color w:val="000000"/>
              </w:rPr>
              <w:t xml:space="preserve"> lo determine</w:t>
            </w:r>
            <w:r w:rsidRPr="00A8044E">
              <w:rPr>
                <w:rFonts w:asciiTheme="minorHAnsi" w:hAnsiTheme="minorHAnsi" w:cs="Calibri"/>
                <w:color w:val="000000"/>
              </w:rPr>
              <w:t xml:space="preserve">, </w:t>
            </w:r>
            <w:r>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Pr>
                <w:rFonts w:asciiTheme="minorHAnsi" w:hAnsiTheme="minorHAnsi" w:cs="Calibri"/>
                <w:color w:val="000000"/>
              </w:rPr>
              <w:t xml:space="preserve">la </w:t>
            </w:r>
            <w:r w:rsidRPr="00A8044E">
              <w:rPr>
                <w:rFonts w:asciiTheme="minorHAnsi" w:hAnsiTheme="minorHAnsi" w:cs="Calibri"/>
                <w:color w:val="000000"/>
              </w:rPr>
              <w:t xml:space="preserve">provisión del </w:t>
            </w:r>
            <w:r>
              <w:rPr>
                <w:rFonts w:asciiTheme="minorHAnsi" w:hAnsiTheme="minorHAnsi" w:cs="Calibri"/>
                <w:color w:val="000000"/>
              </w:rPr>
              <w:t>servicio objeto</w:t>
            </w:r>
            <w:r w:rsidRPr="00A8044E">
              <w:rPr>
                <w:rFonts w:asciiTheme="minorHAnsi" w:hAnsiTheme="minorHAnsi" w:cs="Calibri"/>
                <w:color w:val="000000"/>
              </w:rPr>
              <w:t xml:space="preserve"> del presente acuerdo de compromiso, de conformidad con lo previsto en el artículo 43 de la LOSNCP.</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Los pagos se realizarán con cargo a los fondos propios provenientes del presupuesto de las entidades contratantes generadoras de las órdenes de compra, en la forma establecida en la ficha del </w:t>
            </w:r>
            <w:r>
              <w:rPr>
                <w:rFonts w:asciiTheme="minorHAnsi" w:hAnsiTheme="minorHAnsi" w:cs="Calibri"/>
                <w:color w:val="000000"/>
              </w:rPr>
              <w:t xml:space="preserve">servicio </w:t>
            </w:r>
            <w:r w:rsidRPr="00A8044E">
              <w:rPr>
                <w:rFonts w:asciiTheme="minorHAnsi" w:hAnsiTheme="minorHAnsi" w:cs="Calibri"/>
                <w:color w:val="000000"/>
              </w:rPr>
              <w:t>específico</w:t>
            </w:r>
            <w:r>
              <w:rPr>
                <w:rFonts w:asciiTheme="minorHAnsi" w:hAnsiTheme="minorHAnsi" w:cs="Calibri"/>
                <w:color w:val="000000"/>
              </w:rPr>
              <w:t xml:space="preserve"> </w:t>
            </w:r>
            <w:r w:rsidRPr="00A8044E">
              <w:rPr>
                <w:rFonts w:asciiTheme="minorHAnsi" w:hAnsiTheme="minorHAnsi" w:cs="Calibri"/>
                <w:color w:val="000000"/>
              </w:rPr>
              <w:t>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Pr="00A8044E">
              <w:rPr>
                <w:rFonts w:asciiTheme="minorHAnsi" w:hAnsiTheme="minorHAnsi" w:cs="Calibri"/>
                <w:b/>
                <w:bCs/>
                <w:color w:val="000000"/>
              </w:rPr>
              <w:t>PTIMA: ANTICIPO</w:t>
            </w:r>
          </w:p>
          <w:p w:rsidR="007B7188" w:rsidRDefault="007B7188" w:rsidP="00C01246">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de ser requerido por el proveedor entregará un anticipo de hasta el 70% del monto total de la orden de compra o según se encuentre determinado en la ficha técnica del </w:t>
            </w:r>
            <w:r>
              <w:rPr>
                <w:rFonts w:asciiTheme="minorHAnsi" w:hAnsiTheme="minorHAnsi" w:cs="Calibri"/>
                <w:color w:val="000000"/>
                <w:spacing w:val="-2"/>
              </w:rPr>
              <w:t>servicio</w:t>
            </w:r>
            <w:r w:rsidRPr="00A8044E">
              <w:rPr>
                <w:rFonts w:asciiTheme="minorHAnsi" w:hAnsiTheme="minorHAnsi" w:cs="Calibri"/>
                <w:color w:val="000000"/>
                <w:spacing w:val="-2"/>
              </w:rPr>
              <w:t xml:space="preserve"> específico. El saldo será cancelado contra entrega o entrega parcial del </w:t>
            </w:r>
            <w:r>
              <w:rPr>
                <w:rFonts w:asciiTheme="minorHAnsi" w:hAnsiTheme="minorHAnsi" w:cs="Calibri"/>
                <w:color w:val="000000"/>
                <w:spacing w:val="-2"/>
              </w:rPr>
              <w:t xml:space="preserve">servicio </w:t>
            </w:r>
            <w:r w:rsidRPr="00A8044E">
              <w:rPr>
                <w:rFonts w:asciiTheme="minorHAnsi" w:hAnsiTheme="minorHAnsi" w:cs="Calibri"/>
                <w:color w:val="000000"/>
                <w:spacing w:val="-2"/>
              </w:rPr>
              <w:t xml:space="preserve">adquirido, según lo establecido en la ficha del </w:t>
            </w:r>
            <w:r>
              <w:rPr>
                <w:rFonts w:asciiTheme="minorHAnsi" w:hAnsiTheme="minorHAnsi" w:cs="Calibri"/>
                <w:color w:val="000000"/>
                <w:spacing w:val="-2"/>
              </w:rPr>
              <w:t>servicio</w:t>
            </w:r>
            <w:r w:rsidRPr="00A8044E">
              <w:rPr>
                <w:rFonts w:asciiTheme="minorHAnsi" w:hAnsiTheme="minorHAnsi" w:cs="Calibri"/>
                <w:color w:val="000000"/>
                <w:spacing w:val="-2"/>
              </w:rPr>
              <w:t xml:space="preserve"> específico o acuerdo entre la entidad contratante y el proveedor,  posterior a la generación de la orden de compra.</w:t>
            </w:r>
          </w:p>
          <w:p w:rsidR="007B7188" w:rsidRDefault="007B7188" w:rsidP="00C01246">
            <w:pPr>
              <w:tabs>
                <w:tab w:val="left" w:pos="0"/>
                <w:tab w:val="left" w:pos="708"/>
              </w:tabs>
              <w:autoSpaceDE w:val="0"/>
              <w:autoSpaceDN w:val="0"/>
              <w:adjustRightInd w:val="0"/>
              <w:ind w:right="27"/>
              <w:jc w:val="both"/>
              <w:rPr>
                <w:rFonts w:asciiTheme="minorHAnsi" w:hAnsiTheme="minorHAnsi" w:cs="Calibri"/>
                <w:color w:val="000000"/>
                <w:spacing w:val="-2"/>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Acuerdo de Compromiso sin perjuicio de las obligaciones establecidas en el pliego o ficha de </w:t>
            </w:r>
            <w:r>
              <w:rPr>
                <w:rFonts w:asciiTheme="minorHAnsi" w:hAnsiTheme="minorHAnsi" w:cs="Calibri"/>
                <w:color w:val="000000"/>
              </w:rPr>
              <w:t>servicio</w:t>
            </w:r>
            <w:r w:rsidRPr="00A8044E">
              <w:rPr>
                <w:rFonts w:asciiTheme="minorHAnsi" w:hAnsiTheme="minorHAnsi" w:cs="Calibri"/>
                <w:color w:val="000000"/>
              </w:rPr>
              <w:t xml:space="preserve"> específico, el/la proveedor (a) cumplirá las siguientes obligaciones: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w:t>
            </w:r>
            <w:r>
              <w:rPr>
                <w:rFonts w:asciiTheme="minorHAnsi" w:hAnsiTheme="minorHAnsi" w:cs="Calibri"/>
                <w:color w:val="000000"/>
              </w:rPr>
              <w:t xml:space="preserve"> (48)</w:t>
            </w:r>
            <w:r w:rsidRPr="00A8044E">
              <w:rPr>
                <w:rFonts w:asciiTheme="minorHAnsi" w:hAnsiTheme="minorHAnsi" w:cs="Calibri"/>
                <w:color w:val="000000"/>
              </w:rPr>
              <w:t>, contadas desde la recepción del reclamo y/o consulta.</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Durante la vigencia de este Acuerdo de Compromiso y de acuerdo a lo previsto en el pliego del proceso, la entidad contratante, cumplirá las siguientes obligaciones: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Pr>
                <w:rFonts w:asciiTheme="minorHAnsi" w:hAnsiTheme="minorHAnsi" w:cs="Calibri"/>
                <w:color w:val="000000"/>
              </w:rPr>
              <w:t>a  y administrativa del servicio</w:t>
            </w:r>
            <w:r w:rsidRPr="00A8044E">
              <w:rPr>
                <w:rFonts w:asciiTheme="minorHAnsi" w:hAnsiTheme="minorHAnsi" w:cs="Calibri"/>
                <w:color w:val="000000"/>
              </w:rPr>
              <w:t xml:space="preserve"> adquirido.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Pr>
                <w:rFonts w:asciiTheme="minorHAnsi" w:hAnsiTheme="minorHAnsi" w:cs="Calibri"/>
                <w:color w:val="000000"/>
              </w:rPr>
              <w:t>servicio</w:t>
            </w:r>
            <w:r w:rsidRPr="00A8044E">
              <w:rPr>
                <w:rFonts w:asciiTheme="minorHAnsi" w:hAnsiTheme="minorHAnsi" w:cs="Calibri"/>
                <w:color w:val="000000"/>
              </w:rPr>
              <w:t xml:space="preserve"> recibido cumpla con los términos de referencia o especificaciones técnicas establecidas en la ficha del </w:t>
            </w:r>
            <w:r>
              <w:rPr>
                <w:rFonts w:asciiTheme="minorHAnsi" w:hAnsiTheme="minorHAnsi" w:cs="Calibri"/>
                <w:color w:val="000000"/>
              </w:rPr>
              <w:t>servicio</w:t>
            </w:r>
            <w:r w:rsidRPr="00A8044E">
              <w:rPr>
                <w:rFonts w:asciiTheme="minorHAnsi" w:hAnsiTheme="minorHAnsi" w:cs="Calibri"/>
                <w:color w:val="000000"/>
              </w:rPr>
              <w:t xml:space="preserve"> específico.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Pr>
                <w:rFonts w:asciiTheme="minorHAnsi" w:hAnsiTheme="minorHAnsi" w:cs="Calibri"/>
                <w:color w:val="000000"/>
              </w:rPr>
              <w:t>servicio</w:t>
            </w:r>
            <w:r w:rsidRPr="00A8044E">
              <w:rPr>
                <w:rFonts w:asciiTheme="minorHAnsi" w:hAnsiTheme="minorHAnsi" w:cs="Calibri"/>
                <w:color w:val="000000"/>
              </w:rPr>
              <w:t xml:space="preserve"> adquirido.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7B7188" w:rsidRDefault="007B7188" w:rsidP="00C01246">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-Efectuar los pagos al proveedor en un término no mayor a </w:t>
            </w:r>
            <w:r>
              <w:rPr>
                <w:rFonts w:asciiTheme="minorHAnsi" w:hAnsiTheme="minorHAnsi" w:cs="Calibri"/>
                <w:color w:val="000000"/>
                <w:spacing w:val="-2"/>
              </w:rPr>
              <w:t>quince (</w:t>
            </w:r>
            <w:r w:rsidRPr="00A8044E">
              <w:rPr>
                <w:rFonts w:asciiTheme="minorHAnsi" w:hAnsiTheme="minorHAnsi" w:cs="Calibri"/>
                <w:color w:val="000000"/>
                <w:spacing w:val="-2"/>
              </w:rPr>
              <w:t>15</w:t>
            </w:r>
            <w:r>
              <w:rPr>
                <w:rFonts w:asciiTheme="minorHAnsi" w:hAnsiTheme="minorHAnsi" w:cs="Calibri"/>
                <w:color w:val="000000"/>
                <w:spacing w:val="-2"/>
              </w:rPr>
              <w:t>)</w:t>
            </w:r>
            <w:r w:rsidRPr="00A8044E">
              <w:rPr>
                <w:rFonts w:asciiTheme="minorHAnsi" w:hAnsiTheme="minorHAnsi" w:cs="Calibri"/>
                <w:color w:val="000000"/>
                <w:spacing w:val="-2"/>
              </w:rPr>
              <w:t xml:space="preserve"> días, desde la realización de la respectiva entrega total o parcial, para lo cual se observará lo contemplado en el artículo 101 de la LOSNCP, respecto de la retención indebida de pagos.</w:t>
            </w:r>
          </w:p>
          <w:p w:rsidR="007B7188" w:rsidRPr="00A8044E" w:rsidRDefault="007B7188" w:rsidP="00C01246">
            <w:pPr>
              <w:tabs>
                <w:tab w:val="left" w:pos="0"/>
                <w:tab w:val="left" w:pos="708"/>
              </w:tabs>
              <w:autoSpaceDE w:val="0"/>
              <w:autoSpaceDN w:val="0"/>
              <w:adjustRightInd w:val="0"/>
              <w:ind w:right="27"/>
              <w:jc w:val="both"/>
              <w:rPr>
                <w:rFonts w:asciiTheme="minorHAnsi" w:hAnsiTheme="minorHAnsi" w:cs="Calibri"/>
                <w:color w:val="000000"/>
                <w:spacing w:val="-2"/>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Sin embargo, la entidad podrá dejar sin efecto la orden de compra dentro del término de </w:t>
            </w:r>
            <w:r>
              <w:rPr>
                <w:rFonts w:asciiTheme="minorHAnsi" w:hAnsiTheme="minorHAnsi" w:cs="Calibri"/>
                <w:color w:val="000000"/>
              </w:rPr>
              <w:t>veinte y cuatro (</w:t>
            </w:r>
            <w:r w:rsidRPr="00A8044E">
              <w:rPr>
                <w:rFonts w:asciiTheme="minorHAnsi" w:hAnsiTheme="minorHAnsi" w:cs="Calibri"/>
                <w:color w:val="000000"/>
              </w:rPr>
              <w:t>24</w:t>
            </w:r>
            <w:r>
              <w:rPr>
                <w:rFonts w:asciiTheme="minorHAnsi" w:hAnsiTheme="minorHAnsi" w:cs="Calibri"/>
                <w:color w:val="000000"/>
              </w:rPr>
              <w:t>)</w:t>
            </w:r>
            <w:r w:rsidRPr="00A8044E">
              <w:rPr>
                <w:rFonts w:asciiTheme="minorHAnsi" w:hAnsiTheme="minorHAnsi" w:cs="Calibri"/>
                <w:color w:val="000000"/>
              </w:rPr>
              <w:t xml:space="preserve">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w:t>
            </w:r>
            <w:r>
              <w:rPr>
                <w:rFonts w:asciiTheme="minorHAnsi" w:hAnsiTheme="minorHAnsi" w:cs="Calibri"/>
                <w:color w:val="000000"/>
              </w:rPr>
              <w:t xml:space="preserve"> lo</w:t>
            </w:r>
            <w:r w:rsidRPr="00A8044E">
              <w:rPr>
                <w:rFonts w:asciiTheme="minorHAnsi" w:hAnsiTheme="minorHAnsi" w:cs="Calibri"/>
                <w:color w:val="000000"/>
              </w:rPr>
              <w:t xml:space="preserve"> establecido en el artículo 36 de la LOSNCP en concordancia con el Art. 31 de su Reglamento General.</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7B7188" w:rsidRDefault="007B7188" w:rsidP="00C01246">
            <w:pPr>
              <w:tabs>
                <w:tab w:val="left" w:pos="708"/>
              </w:tabs>
              <w:autoSpaceDE w:val="0"/>
              <w:autoSpaceDN w:val="0"/>
              <w:adjustRightInd w:val="0"/>
              <w:jc w:val="both"/>
              <w:rPr>
                <w:rFonts w:cs="Calibri"/>
                <w:b/>
                <w:bCs/>
                <w:color w:val="000000"/>
              </w:rPr>
            </w:pPr>
          </w:p>
          <w:p w:rsidR="007B7188" w:rsidRDefault="007B7188" w:rsidP="00C01246">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-Por mutuo acuerdo de las partes de conformidad con el artículo 93 de la LOSNCP.</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 manera unilateral y anticipada declarada por el SERCOP, sin derecho a reclamo o indemnización alguna  a el/la proveedor (a), en los siguientes casos:</w:t>
            </w:r>
          </w:p>
          <w:p w:rsidR="007B7188" w:rsidRPr="00A8044E" w:rsidRDefault="007B7188" w:rsidP="007B7188">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7B7188" w:rsidRPr="00A8044E" w:rsidRDefault="007B7188" w:rsidP="007B7188">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La quiebra o el estado de insolvencia </w:t>
            </w:r>
            <w:r>
              <w:rPr>
                <w:rFonts w:asciiTheme="minorHAnsi" w:hAnsiTheme="minorHAnsi" w:cs="Calibri"/>
                <w:color w:val="000000"/>
              </w:rPr>
              <w:t xml:space="preserve">de </w:t>
            </w:r>
            <w:r w:rsidRPr="00A8044E">
              <w:rPr>
                <w:rFonts w:asciiTheme="minorHAnsi" w:hAnsiTheme="minorHAnsi" w:cs="Calibri"/>
                <w:color w:val="000000"/>
              </w:rPr>
              <w:t>el/la proveedor (a);</w:t>
            </w:r>
          </w:p>
          <w:p w:rsidR="007B7188" w:rsidRPr="00A8044E" w:rsidRDefault="007B7188" w:rsidP="007B7188">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7B7188" w:rsidRPr="00A8044E" w:rsidRDefault="007B7188" w:rsidP="007B7188">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7B7188" w:rsidRPr="00A8044E" w:rsidRDefault="007B7188" w:rsidP="007B7188">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7B7188" w:rsidRPr="00A8044E" w:rsidRDefault="007B7188" w:rsidP="007B7188">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7B7188" w:rsidRPr="00A8044E" w:rsidRDefault="007B7188" w:rsidP="007B7188">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Pr>
                <w:rFonts w:asciiTheme="minorHAnsi" w:hAnsiTheme="minorHAnsi" w:cs="Calibri"/>
                <w:color w:val="000000"/>
              </w:rPr>
              <w:t xml:space="preserve"> como</w:t>
            </w:r>
            <w:r w:rsidRPr="00A8044E">
              <w:rPr>
                <w:rFonts w:asciiTheme="minorHAnsi" w:hAnsiTheme="minorHAnsi" w:cs="Calibri"/>
                <w:color w:val="000000"/>
              </w:rPr>
              <w:t xml:space="preserve"> </w:t>
            </w:r>
            <w:r>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7B7188" w:rsidRPr="00A8044E" w:rsidRDefault="007B7188" w:rsidP="007B7188">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Si el/la proveedor (a), no notificare al SERCOP, acerca de la transferencia, cesión, enajenación de sus acciones, participaciones, o en general, de cualquier cambio en su estructura de propiedad, dentro de los cinco </w:t>
            </w:r>
            <w:r>
              <w:rPr>
                <w:rFonts w:asciiTheme="minorHAnsi" w:hAnsiTheme="minorHAnsi" w:cs="Calibri"/>
                <w:color w:val="000000"/>
              </w:rPr>
              <w:t xml:space="preserve">(5) </w:t>
            </w:r>
            <w:r w:rsidRPr="00A8044E">
              <w:rPr>
                <w:rFonts w:asciiTheme="minorHAnsi" w:hAnsiTheme="minorHAnsi" w:cs="Calibri"/>
                <w:color w:val="000000"/>
              </w:rPr>
              <w:t>días hábiles siguientes a la fecha en que se produjo tal modificación.</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Acuerdo de Compromiso cuando, ante circunstancias técnicas o económicas imprevistas o de caso fortuito o fuerza mayor, debidamente comprobadas de el/la proveedor (a) y con quien se ha suscrito el </w:t>
            </w:r>
            <w:r>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Acuerdo de Compromiso.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w:t>
            </w:r>
            <w:r>
              <w:rPr>
                <w:rFonts w:asciiTheme="minorHAnsi" w:hAnsiTheme="minorHAnsi" w:cs="Calibri"/>
                <w:color w:val="000000"/>
              </w:rPr>
              <w:t>diez (</w:t>
            </w:r>
            <w:r w:rsidRPr="00A8044E">
              <w:rPr>
                <w:rFonts w:asciiTheme="minorHAnsi" w:hAnsiTheme="minorHAnsi" w:cs="Calibri"/>
                <w:color w:val="000000"/>
              </w:rPr>
              <w:t>10</w:t>
            </w:r>
            <w:r>
              <w:rPr>
                <w:rFonts w:asciiTheme="minorHAnsi" w:hAnsiTheme="minorHAnsi" w:cs="Calibri"/>
                <w:color w:val="000000"/>
              </w:rPr>
              <w:t>)</w:t>
            </w:r>
            <w:r w:rsidRPr="00A8044E">
              <w:rPr>
                <w:rFonts w:asciiTheme="minorHAnsi" w:hAnsiTheme="minorHAnsi" w:cs="Calibri"/>
                <w:color w:val="000000"/>
              </w:rPr>
              <w:t xml:space="preserve"> días para </w:t>
            </w:r>
            <w:r>
              <w:rPr>
                <w:rFonts w:asciiTheme="minorHAnsi" w:hAnsiTheme="minorHAnsi" w:cs="Calibri"/>
                <w:color w:val="000000"/>
              </w:rPr>
              <w:t xml:space="preserve">que </w:t>
            </w:r>
            <w:r w:rsidRPr="00A8044E">
              <w:rPr>
                <w:rFonts w:asciiTheme="minorHAnsi" w:hAnsiTheme="minorHAnsi" w:cs="Calibri"/>
                <w:color w:val="000000"/>
              </w:rPr>
              <w:t xml:space="preserve">justifique o remedie la causal de incumplimiento. En caso </w:t>
            </w:r>
            <w:r>
              <w:rPr>
                <w:rFonts w:asciiTheme="minorHAnsi" w:hAnsiTheme="minorHAnsi" w:cs="Calibri"/>
                <w:color w:val="000000"/>
              </w:rPr>
              <w:t xml:space="preserve">de </w:t>
            </w:r>
            <w:r w:rsidRPr="00A8044E">
              <w:rPr>
                <w:rFonts w:asciiTheme="minorHAnsi" w:hAnsiTheme="minorHAnsi" w:cs="Calibri"/>
                <w:color w:val="000000"/>
              </w:rPr>
              <w:t>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Director General del SERCOP o su delegado, designará al administrador del Acuerdo de Compromiso</w:t>
            </w:r>
            <w:r>
              <w:rPr>
                <w:rFonts w:asciiTheme="minorHAnsi" w:hAnsiTheme="minorHAnsi" w:cs="Calibri"/>
                <w:color w:val="000000"/>
              </w:rPr>
              <w:t xml:space="preserve"> (Convenio Marco para Feria Inclusiva)</w:t>
            </w:r>
            <w:r w:rsidRPr="00A8044E">
              <w:rPr>
                <w:rFonts w:asciiTheme="minorHAnsi" w:hAnsiTheme="minorHAnsi" w:cs="Calibri"/>
                <w:color w:val="000000"/>
              </w:rPr>
              <w:t xml:space="preserve"> por parte del SERCOP, quien tendrá entre sus funciones, todas las que se deriven de la administración del </w:t>
            </w:r>
            <w:r>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7B7188" w:rsidRPr="00A8044E" w:rsidRDefault="007B7188" w:rsidP="00C01246">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7B7188" w:rsidRPr="00A8044E" w:rsidRDefault="007B7188" w:rsidP="00C01246">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7B7188"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Acuerdo de Compromiso, quien tendrá atribuciones suficientes como para atender de manera directa lo relacionado con la ejecución del presente instrumento. Son funciones del administrador del </w:t>
            </w:r>
            <w:r>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7B7188" w:rsidRPr="00A8044E" w:rsidRDefault="007B7188" w:rsidP="00C01246">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Pr>
                <w:rFonts w:asciiTheme="minorHAnsi" w:hAnsiTheme="minorHAnsi" w:cs="Calibri"/>
                <w:color w:val="000000"/>
              </w:rPr>
              <w:t>Acuerdo de Compromiso.</w:t>
            </w:r>
          </w:p>
          <w:p w:rsidR="007B7188" w:rsidRPr="00A8044E" w:rsidRDefault="007B7188" w:rsidP="00C01246">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7B7188" w:rsidRPr="00A8044E" w:rsidRDefault="007B7188" w:rsidP="00C01246">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7B7188" w:rsidRPr="00A8044E" w:rsidRDefault="007B7188" w:rsidP="00C01246">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El/la proveedor (a), deberá informar respecto de todo cambio relacionado con la designación del administrador del Acuerdo de Compromiso, en los términos y formatos que determine el SERCOP.</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 forma y plazo de entrega será el determinado en la ficha del </w:t>
            </w:r>
            <w:r>
              <w:rPr>
                <w:rFonts w:asciiTheme="minorHAnsi" w:hAnsiTheme="minorHAnsi" w:cs="Calibri"/>
                <w:color w:val="000000"/>
              </w:rPr>
              <w:t>servicio</w:t>
            </w:r>
            <w:r w:rsidRPr="00A8044E">
              <w:rPr>
                <w:rFonts w:asciiTheme="minorHAnsi" w:hAnsiTheme="minorHAnsi" w:cs="Calibri"/>
                <w:color w:val="000000"/>
              </w:rPr>
              <w:t>específico</w:t>
            </w:r>
            <w:r>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generadora de la orden de compra, podrán establecer un cronograma de entrega, pudiendo determinar entregas parciales</w:t>
            </w:r>
            <w:r>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Pr>
                <w:rFonts w:asciiTheme="minorHAnsi" w:hAnsiTheme="minorHAnsi" w:cs="Calibri"/>
                <w:color w:val="000000"/>
              </w:rPr>
              <w:t>ratante y proveedor. Sin embargo,</w:t>
            </w:r>
            <w:r w:rsidRPr="00A8044E">
              <w:rPr>
                <w:rFonts w:asciiTheme="minorHAnsi" w:hAnsiTheme="minorHAnsi" w:cs="Calibri"/>
                <w:color w:val="000000"/>
              </w:rPr>
              <w:t xml:space="preserve"> </w:t>
            </w:r>
            <w:r>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w:t>
            </w:r>
            <w:r>
              <w:rPr>
                <w:rFonts w:asciiTheme="minorHAnsi" w:hAnsiTheme="minorHAnsi" w:cs="Calibri"/>
                <w:color w:val="000000"/>
              </w:rPr>
              <w:t>servicio</w:t>
            </w:r>
            <w:r w:rsidRPr="00A8044E">
              <w:rPr>
                <w:rFonts w:asciiTheme="minorHAnsi" w:hAnsiTheme="minorHAnsi" w:cs="Calibri"/>
                <w:color w:val="000000"/>
              </w:rPr>
              <w:t>específico, documento que servirá de base a los responsables de la recepción administrativa para la suscripción del acta correspondiente.</w:t>
            </w:r>
          </w:p>
          <w:p w:rsidR="007B7188"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7B7188" w:rsidRDefault="007B7188" w:rsidP="00C01246">
            <w:pPr>
              <w:tabs>
                <w:tab w:val="left" w:pos="708"/>
              </w:tabs>
              <w:autoSpaceDE w:val="0"/>
              <w:autoSpaceDN w:val="0"/>
              <w:adjustRightInd w:val="0"/>
              <w:jc w:val="both"/>
              <w:rPr>
                <w:rFonts w:asciiTheme="minorHAnsi" w:hAnsiTheme="minorHAnsi" w:cs="Calibri"/>
                <w:color w:val="000000"/>
              </w:rPr>
            </w:pPr>
          </w:p>
          <w:p w:rsidR="007B7188" w:rsidRDefault="007B7188" w:rsidP="00C01246">
            <w:pPr>
              <w:tabs>
                <w:tab w:val="left" w:pos="708"/>
              </w:tabs>
              <w:autoSpaceDE w:val="0"/>
              <w:autoSpaceDN w:val="0"/>
              <w:adjustRightInd w:val="0"/>
              <w:jc w:val="both"/>
              <w:rPr>
                <w:rFonts w:asciiTheme="minorHAnsi" w:hAnsiTheme="minorHAnsi" w:cs="Calibri"/>
                <w:color w:val="000000"/>
              </w:rPr>
            </w:pPr>
          </w:p>
          <w:p w:rsidR="007B7188"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7B7188" w:rsidRDefault="007B7188" w:rsidP="00C01246">
            <w:pPr>
              <w:tabs>
                <w:tab w:val="left" w:pos="708"/>
              </w:tabs>
              <w:autoSpaceDE w:val="0"/>
              <w:autoSpaceDN w:val="0"/>
              <w:adjustRightInd w:val="0"/>
              <w:spacing w:after="120"/>
              <w:jc w:val="both"/>
              <w:rPr>
                <w:rFonts w:cs="Calibri"/>
                <w:color w:val="000000"/>
              </w:rPr>
            </w:pPr>
            <w:r>
              <w:rPr>
                <w:rFonts w:cs="Calibri"/>
                <w:color w:val="000000"/>
              </w:rPr>
              <w:t>El/ la proveedor (a) será multado y sancionado por su incumplimiento,  de conformidad a las condiciones señaladas en el presente Acuerdo de Compromiso, en la ficha del servicio específico y el pliego del procedimiento.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Acuerdo de Compromiso, la entrega se podrá realizar en un plazo máximo adicional de hasta </w:t>
            </w:r>
            <w:r>
              <w:rPr>
                <w:rFonts w:asciiTheme="minorHAnsi" w:hAnsiTheme="minorHAnsi" w:cs="Calibri"/>
                <w:color w:val="000000"/>
              </w:rPr>
              <w:t>diez (</w:t>
            </w:r>
            <w:r w:rsidRPr="00A8044E">
              <w:rPr>
                <w:rFonts w:asciiTheme="minorHAnsi" w:hAnsiTheme="minorHAnsi" w:cs="Calibri"/>
                <w:color w:val="000000"/>
              </w:rPr>
              <w:t>10</w:t>
            </w:r>
            <w:r>
              <w:rPr>
                <w:rFonts w:asciiTheme="minorHAnsi" w:hAnsiTheme="minorHAnsi" w:cs="Calibri"/>
                <w:color w:val="000000"/>
              </w:rPr>
              <w:t>)</w:t>
            </w:r>
            <w:r w:rsidRPr="00A8044E">
              <w:rPr>
                <w:rFonts w:asciiTheme="minorHAnsi" w:hAnsiTheme="minorHAnsi" w:cs="Calibri"/>
                <w:color w:val="000000"/>
              </w:rPr>
              <w:t xml:space="preserve"> días, sin que durante dicho tiempo sea aplicable multa alguna, caso contrario se aplicarán las multas descritas.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2.- El SERCOP procederá a aplicar la suspensión </w:t>
            </w:r>
            <w:r>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7B7188" w:rsidRPr="00A8044E" w:rsidRDefault="007B7188" w:rsidP="00C01246">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Pr>
                <w:rFonts w:asciiTheme="minorHAnsi" w:hAnsiTheme="minorHAnsi" w:cs="Calibri"/>
                <w:color w:val="000000"/>
              </w:rPr>
              <w:t>suspensión</w:t>
            </w:r>
            <w:r w:rsidRPr="00A8044E">
              <w:rPr>
                <w:rFonts w:asciiTheme="minorHAnsi" w:hAnsiTheme="minorHAnsi" w:cs="Calibri"/>
                <w:color w:val="000000"/>
              </w:rPr>
              <w:t xml:space="preserve"> correspondiente, en donde conste lo siguiente:</w:t>
            </w:r>
          </w:p>
          <w:p w:rsidR="007B7188" w:rsidRPr="00A8044E" w:rsidRDefault="007B7188" w:rsidP="00C01246">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7B7188" w:rsidRPr="00A8044E" w:rsidRDefault="007B7188" w:rsidP="00C01246">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7B7188" w:rsidRPr="00A8044E" w:rsidRDefault="007B7188" w:rsidP="00C01246">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Pr>
                <w:rFonts w:asciiTheme="minorHAnsi" w:hAnsiTheme="minorHAnsi" w:cs="Calibri"/>
                <w:color w:val="000000"/>
              </w:rPr>
              <w:t>suspensión</w:t>
            </w:r>
            <w:r w:rsidRPr="00A8044E">
              <w:rPr>
                <w:rFonts w:asciiTheme="minorHAnsi" w:hAnsiTheme="minorHAnsi" w:cs="Calibri"/>
                <w:color w:val="000000"/>
              </w:rPr>
              <w:t>.</w:t>
            </w:r>
          </w:p>
          <w:p w:rsidR="007B7188" w:rsidRPr="00A8044E" w:rsidRDefault="007B7188" w:rsidP="00C01246">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Acuerdo de Compromiso realizará la recopilación de información que considere necesaria para emitir un informe sustentado, que será puesto a consideración del Director General, en el cual se recomiende la aplicación o no de la </w:t>
            </w:r>
            <w:r>
              <w:rPr>
                <w:rFonts w:asciiTheme="minorHAnsi" w:hAnsiTheme="minorHAnsi" w:cs="Calibri"/>
                <w:color w:val="000000"/>
              </w:rPr>
              <w:t>suspensión</w:t>
            </w:r>
            <w:r w:rsidRPr="00A8044E">
              <w:rPr>
                <w:rFonts w:asciiTheme="minorHAnsi" w:hAnsiTheme="minorHAnsi" w:cs="Calibri"/>
                <w:color w:val="000000"/>
              </w:rPr>
              <w:t>.</w:t>
            </w:r>
          </w:p>
          <w:p w:rsidR="007B7188" w:rsidRPr="00A8044E" w:rsidRDefault="007B7188" w:rsidP="00C01246">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7B7188"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7B7188"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El/la proveedor (a) deberá estar habilitado en el RUP, durante toda la vigencia del Acuerdo de Compromiso.</w:t>
            </w:r>
          </w:p>
          <w:p w:rsidR="007B7188" w:rsidRDefault="007B7188" w:rsidP="00C01246">
            <w:pPr>
              <w:tabs>
                <w:tab w:val="left" w:pos="708"/>
              </w:tabs>
              <w:autoSpaceDE w:val="0"/>
              <w:autoSpaceDN w:val="0"/>
              <w:adjustRightInd w:val="0"/>
              <w:spacing w:after="120"/>
              <w:jc w:val="both"/>
              <w:rPr>
                <w:rFonts w:asciiTheme="minorHAnsi" w:hAnsiTheme="minorHAnsi" w:cs="Calibri"/>
                <w:b/>
                <w:bCs/>
                <w:color w:val="000000"/>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7B7188" w:rsidRDefault="007B7188" w:rsidP="00C01246">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legislación aplicable a este Acuerdo es la ecuatoriana. En consecuencia, el/la proveedor (a) declara conocer el ordenamiento jurídico ecuatoriano y por lo tanto, se entiende incorporado el mismo en todo lo que sea aplicable al presente Acuerdo.</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7B7188" w:rsidRPr="00A8044E" w:rsidRDefault="007B7188" w:rsidP="00C01246">
            <w:pPr>
              <w:tabs>
                <w:tab w:val="left" w:pos="708"/>
              </w:tabs>
              <w:autoSpaceDE w:val="0"/>
              <w:autoSpaceDN w:val="0"/>
              <w:adjustRightInd w:val="0"/>
              <w:spacing w:after="120"/>
              <w:jc w:val="both"/>
              <w:rPr>
                <w:rFonts w:asciiTheme="minorHAnsi" w:hAnsiTheme="minorHAnsi" w:cs="Calibri"/>
                <w:b/>
                <w:bCs/>
                <w:color w:val="000000"/>
              </w:rPr>
            </w:pPr>
            <w:r w:rsidRPr="004309B1">
              <w:rPr>
                <w:rFonts w:asciiTheme="minorHAnsi" w:hAnsiTheme="minorHAnsi" w:cs="Calibri"/>
                <w:b/>
                <w:bCs/>
                <w:color w:val="FF0000"/>
              </w:rPr>
              <w:t xml:space="preserve">SERVICIO NACIONAL DE CONTRATACIÓN PÚBLICA </w:t>
            </w:r>
            <w:r w:rsidRPr="00A8044E">
              <w:rPr>
                <w:rFonts w:asciiTheme="minorHAnsi" w:hAnsiTheme="minorHAnsi" w:cs="Calibri"/>
                <w:b/>
                <w:bCs/>
                <w:color w:val="000000"/>
              </w:rPr>
              <w:t>– SERCOP :</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Pr="00A8044E">
              <w:rPr>
                <w:rFonts w:asciiTheme="minorHAnsi" w:hAnsiTheme="minorHAnsi" w:cs="Calibri"/>
                <w:color w:val="000000"/>
              </w:rPr>
              <w:t xml:space="preserve"> Fax: 02 2440-050</w:t>
            </w:r>
          </w:p>
          <w:p w:rsidR="007B7188" w:rsidRPr="00A8044E" w:rsidRDefault="007B7188" w:rsidP="00C0124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8" w:history="1">
              <w:r w:rsidRPr="00A8044E">
                <w:rPr>
                  <w:rFonts w:asciiTheme="minorHAnsi" w:hAnsiTheme="minorHAnsi" w:cs="Calibri"/>
                  <w:color w:val="0000FF"/>
                  <w:u w:val="single"/>
                </w:rPr>
                <w:t>www.compraspublicas.gob.ec</w:t>
              </w:r>
            </w:hyperlink>
          </w:p>
          <w:p w:rsidR="007B7188" w:rsidRPr="00A8044E" w:rsidRDefault="007B7188" w:rsidP="00C01246">
            <w:pPr>
              <w:tabs>
                <w:tab w:val="left" w:pos="708"/>
              </w:tabs>
              <w:autoSpaceDE w:val="0"/>
              <w:autoSpaceDN w:val="0"/>
              <w:adjustRightInd w:val="0"/>
              <w:jc w:val="both"/>
              <w:rPr>
                <w:rFonts w:asciiTheme="minorHAnsi" w:hAnsiTheme="minorHAnsi" w:cs="Calibri"/>
                <w:b/>
                <w:color w:val="000000"/>
              </w:rPr>
            </w:pPr>
          </w:p>
          <w:p w:rsidR="007B7188" w:rsidRPr="0061309A" w:rsidRDefault="007B7188" w:rsidP="00C01246">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7B7188" w:rsidRPr="0061309A" w:rsidRDefault="007B7188" w:rsidP="00C01246">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7B7188" w:rsidRPr="0061309A" w:rsidRDefault="007B7188" w:rsidP="00C01246">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w:t>
            </w:r>
            <w:proofErr w:type="gramStart"/>
            <w:r w:rsidRPr="0061309A">
              <w:rPr>
                <w:rFonts w:asciiTheme="minorHAnsi" w:hAnsiTheme="minorHAnsi" w:cs="Calibri"/>
                <w:color w:val="000000"/>
              </w:rPr>
              <w:t>..</w:t>
            </w:r>
            <w:proofErr w:type="gramEnd"/>
            <w:r w:rsidRPr="0061309A">
              <w:rPr>
                <w:rFonts w:asciiTheme="minorHAnsi" w:hAnsiTheme="minorHAnsi" w:cs="Calibri"/>
                <w:color w:val="000000"/>
              </w:rPr>
              <w:t xml:space="preserve"> o celular&gt;&gt;</w:t>
            </w:r>
          </w:p>
          <w:p w:rsidR="007B7188" w:rsidRPr="0061309A" w:rsidRDefault="007B7188" w:rsidP="00C01246">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7B7188" w:rsidRPr="0061309A" w:rsidRDefault="007B7188" w:rsidP="00C01246">
            <w:pPr>
              <w:tabs>
                <w:tab w:val="left" w:pos="708"/>
              </w:tabs>
              <w:autoSpaceDE w:val="0"/>
              <w:autoSpaceDN w:val="0"/>
              <w:adjustRightInd w:val="0"/>
              <w:jc w:val="both"/>
              <w:rPr>
                <w:rFonts w:asciiTheme="minorHAnsi" w:hAnsiTheme="minorHAnsi" w:cs="Calibri"/>
                <w:color w:val="000000"/>
              </w:rPr>
            </w:pPr>
          </w:p>
          <w:p w:rsidR="007B7188" w:rsidRPr="0061309A" w:rsidRDefault="007B7188" w:rsidP="00C01246">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7B7188" w:rsidRPr="00A8044E" w:rsidRDefault="007B7188" w:rsidP="00C01246">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7B7188" w:rsidRDefault="007B7188" w:rsidP="00C01246">
            <w:pPr>
              <w:tabs>
                <w:tab w:val="left" w:pos="708"/>
              </w:tabs>
              <w:autoSpaceDE w:val="0"/>
              <w:autoSpaceDN w:val="0"/>
              <w:adjustRightInd w:val="0"/>
              <w:spacing w:after="120"/>
              <w:jc w:val="both"/>
              <w:rPr>
                <w:rFonts w:asciiTheme="minorHAnsi" w:hAnsiTheme="minorHAnsi" w:cs="Calibri"/>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rPr>
            </w:pPr>
          </w:p>
          <w:p w:rsidR="007B7188" w:rsidRPr="00A8044E" w:rsidRDefault="007B7188" w:rsidP="00C01246">
            <w:pPr>
              <w:tabs>
                <w:tab w:val="left" w:pos="708"/>
              </w:tabs>
              <w:autoSpaceDE w:val="0"/>
              <w:autoSpaceDN w:val="0"/>
              <w:adjustRightInd w:val="0"/>
              <w:spacing w:after="120"/>
              <w:jc w:val="both"/>
              <w:rPr>
                <w:rFonts w:asciiTheme="minorHAnsi" w:hAnsiTheme="minorHAnsi" w:cs="Calibri"/>
              </w:rPr>
            </w:pPr>
          </w:p>
          <w:p w:rsidR="007B7188" w:rsidRPr="0061309A" w:rsidRDefault="007B7188" w:rsidP="00C01246">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7B7188" w:rsidRPr="0061309A" w:rsidRDefault="007B7188" w:rsidP="00C01246">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7B7188" w:rsidRPr="00A8044E" w:rsidRDefault="007B7188" w:rsidP="00C01246">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7B7188" w:rsidRPr="00A8044E" w:rsidRDefault="007B7188" w:rsidP="00C01246">
            <w:pPr>
              <w:tabs>
                <w:tab w:val="center" w:pos="4680"/>
              </w:tabs>
              <w:autoSpaceDE w:val="0"/>
              <w:autoSpaceDN w:val="0"/>
              <w:adjustRightInd w:val="0"/>
              <w:rPr>
                <w:rFonts w:asciiTheme="minorHAnsi" w:hAnsiTheme="minorHAnsi" w:cs="Calibri"/>
              </w:rPr>
            </w:pPr>
          </w:p>
          <w:p w:rsidR="007B7188" w:rsidRDefault="007B7188" w:rsidP="00C01246">
            <w:pPr>
              <w:tabs>
                <w:tab w:val="center" w:pos="4680"/>
              </w:tabs>
              <w:autoSpaceDE w:val="0"/>
              <w:autoSpaceDN w:val="0"/>
              <w:adjustRightInd w:val="0"/>
              <w:rPr>
                <w:rFonts w:asciiTheme="minorHAnsi" w:hAnsiTheme="minorHAnsi" w:cs="Calibri"/>
              </w:rPr>
            </w:pPr>
          </w:p>
          <w:p w:rsidR="007B7188" w:rsidRPr="00A8044E" w:rsidRDefault="007B7188" w:rsidP="00C01246">
            <w:pPr>
              <w:tabs>
                <w:tab w:val="center" w:pos="4680"/>
              </w:tabs>
              <w:autoSpaceDE w:val="0"/>
              <w:autoSpaceDN w:val="0"/>
              <w:adjustRightInd w:val="0"/>
              <w:rPr>
                <w:rFonts w:asciiTheme="minorHAnsi" w:hAnsiTheme="minorHAnsi" w:cs="Calibri"/>
              </w:rPr>
            </w:pPr>
          </w:p>
          <w:p w:rsidR="007B7188" w:rsidRPr="00A8044E" w:rsidRDefault="007B7188" w:rsidP="00C01246">
            <w:pPr>
              <w:tabs>
                <w:tab w:val="center" w:pos="4680"/>
              </w:tabs>
              <w:autoSpaceDE w:val="0"/>
              <w:autoSpaceDN w:val="0"/>
              <w:adjustRightInd w:val="0"/>
              <w:rPr>
                <w:rFonts w:asciiTheme="minorHAnsi" w:hAnsiTheme="minorHAnsi" w:cs="Calibri"/>
              </w:rPr>
            </w:pPr>
          </w:p>
          <w:p w:rsidR="007B7188" w:rsidRPr="00A8044E" w:rsidRDefault="007B7188" w:rsidP="00C01246">
            <w:pPr>
              <w:tabs>
                <w:tab w:val="center" w:pos="4680"/>
              </w:tabs>
              <w:autoSpaceDE w:val="0"/>
              <w:autoSpaceDN w:val="0"/>
              <w:adjustRightInd w:val="0"/>
              <w:rPr>
                <w:rFonts w:asciiTheme="minorHAnsi" w:hAnsiTheme="minorHAnsi" w:cs="Calibri"/>
              </w:rPr>
            </w:pPr>
          </w:p>
          <w:p w:rsidR="007B7188" w:rsidRPr="0061309A" w:rsidRDefault="007B7188" w:rsidP="00C01246">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7B7188" w:rsidRPr="00A8044E" w:rsidRDefault="007B7188" w:rsidP="00C01246">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7B7188" w:rsidRPr="00A8044E" w:rsidRDefault="007B7188" w:rsidP="00C01246">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7B7188" w:rsidRPr="00A8044E" w:rsidRDefault="007B7188" w:rsidP="00C01246">
            <w:pPr>
              <w:rPr>
                <w:rFonts w:asciiTheme="minorHAnsi" w:eastAsia="Times New Roman" w:hAnsiTheme="minorHAnsi"/>
                <w:lang w:eastAsia="es-EC"/>
              </w:rPr>
            </w:pPr>
          </w:p>
        </w:tc>
      </w:tr>
    </w:tbl>
    <w:p w:rsidR="00E24EBD" w:rsidRDefault="000F11AF">
      <w:bookmarkStart w:id="0" w:name="_GoBack"/>
      <w:bookmarkEnd w:id="0"/>
    </w:p>
    <w:sectPr w:rsidR="00E24EB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AF" w:rsidRDefault="000F11AF" w:rsidP="007B7188">
      <w:pPr>
        <w:spacing w:after="0" w:line="240" w:lineRule="auto"/>
      </w:pPr>
      <w:r>
        <w:separator/>
      </w:r>
    </w:p>
  </w:endnote>
  <w:endnote w:type="continuationSeparator" w:id="0">
    <w:p w:rsidR="000F11AF" w:rsidRDefault="000F11AF" w:rsidP="007B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AF" w:rsidRDefault="000F11AF" w:rsidP="007B7188">
      <w:pPr>
        <w:spacing w:after="0" w:line="240" w:lineRule="auto"/>
      </w:pPr>
      <w:r>
        <w:separator/>
      </w:r>
    </w:p>
  </w:footnote>
  <w:footnote w:type="continuationSeparator" w:id="0">
    <w:p w:rsidR="000F11AF" w:rsidRDefault="000F11AF" w:rsidP="007B7188">
      <w:pPr>
        <w:spacing w:after="0" w:line="240" w:lineRule="auto"/>
      </w:pPr>
      <w:r>
        <w:continuationSeparator/>
      </w:r>
    </w:p>
  </w:footnote>
  <w:footnote w:id="1">
    <w:p w:rsidR="007B7188" w:rsidRDefault="007B7188" w:rsidP="007B7188">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1">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2">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5">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18">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9">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19"/>
  </w:num>
  <w:num w:numId="4">
    <w:abstractNumId w:val="14"/>
  </w:num>
  <w:num w:numId="5">
    <w:abstractNumId w:val="10"/>
  </w:num>
  <w:num w:numId="6">
    <w:abstractNumId w:val="17"/>
  </w:num>
  <w:num w:numId="7">
    <w:abstractNumId w:val="9"/>
  </w:num>
  <w:num w:numId="8">
    <w:abstractNumId w:val="2"/>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1"/>
  </w:num>
  <w:num w:numId="11">
    <w:abstractNumId w:val="1"/>
  </w:num>
  <w:num w:numId="12">
    <w:abstractNumId w:val="7"/>
  </w:num>
  <w:num w:numId="13">
    <w:abstractNumId w:val="18"/>
  </w:num>
  <w:num w:numId="14">
    <w:abstractNumId w:val="15"/>
  </w:num>
  <w:num w:numId="15">
    <w:abstractNumId w:val="5"/>
  </w:num>
  <w:num w:numId="16">
    <w:abstractNumId w:val="8"/>
  </w:num>
  <w:num w:numId="17">
    <w:abstractNumId w:val="13"/>
  </w:num>
  <w:num w:numId="18">
    <w:abstractNumId w:val="12"/>
  </w:num>
  <w:num w:numId="19">
    <w:abstractNumId w:val="3"/>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88"/>
    <w:rsid w:val="000F11AF"/>
    <w:rsid w:val="00507D8F"/>
    <w:rsid w:val="0075403B"/>
    <w:rsid w:val="007B71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88"/>
    <w:rPr>
      <w:rFonts w:ascii="Calibri" w:eastAsia="Calibri" w:hAnsi="Calibri" w:cs="Times New Roman"/>
    </w:rPr>
  </w:style>
  <w:style w:type="paragraph" w:styleId="Ttulo1">
    <w:name w:val="heading 1"/>
    <w:basedOn w:val="Normal"/>
    <w:link w:val="Ttulo1Car"/>
    <w:qFormat/>
    <w:rsid w:val="007B7188"/>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7B7188"/>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7B7188"/>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7B7188"/>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7B7188"/>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7188"/>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7B7188"/>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7B7188"/>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7B7188"/>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7B7188"/>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7B7188"/>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7B7188"/>
    <w:pPr>
      <w:spacing w:before="100" w:beforeAutospacing="1" w:after="119" w:line="240" w:lineRule="auto"/>
    </w:pPr>
    <w:rPr>
      <w:rFonts w:eastAsia="Times New Roman"/>
      <w:sz w:val="24"/>
      <w:szCs w:val="24"/>
      <w:lang w:eastAsia="es-EC"/>
    </w:rPr>
  </w:style>
  <w:style w:type="paragraph" w:customStyle="1" w:styleId="cjk">
    <w:name w:val="cjk"/>
    <w:basedOn w:val="Normal"/>
    <w:rsid w:val="007B7188"/>
    <w:pPr>
      <w:spacing w:before="100" w:beforeAutospacing="1" w:after="119" w:line="240" w:lineRule="auto"/>
    </w:pPr>
    <w:rPr>
      <w:rFonts w:eastAsia="Times New Roman"/>
      <w:sz w:val="24"/>
      <w:szCs w:val="24"/>
      <w:lang w:eastAsia="es-EC"/>
    </w:rPr>
  </w:style>
  <w:style w:type="paragraph" w:customStyle="1" w:styleId="ctl">
    <w:name w:val="ctl"/>
    <w:basedOn w:val="Normal"/>
    <w:rsid w:val="007B7188"/>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7B71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188"/>
    <w:rPr>
      <w:rFonts w:ascii="Calibri" w:eastAsia="Calibri" w:hAnsi="Calibri" w:cs="Times New Roman"/>
    </w:rPr>
  </w:style>
  <w:style w:type="paragraph" w:styleId="Piedepgina">
    <w:name w:val="footer"/>
    <w:basedOn w:val="Normal"/>
    <w:link w:val="PiedepginaCar"/>
    <w:uiPriority w:val="99"/>
    <w:unhideWhenUsed/>
    <w:rsid w:val="007B71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188"/>
    <w:rPr>
      <w:rFonts w:ascii="Calibri" w:eastAsia="Calibri" w:hAnsi="Calibri" w:cs="Times New Roman"/>
    </w:rPr>
  </w:style>
  <w:style w:type="paragraph" w:styleId="Prrafodelista">
    <w:name w:val="List Paragraph"/>
    <w:aliases w:val="TIT 2 IND"/>
    <w:basedOn w:val="Normal"/>
    <w:link w:val="PrrafodelistaCar"/>
    <w:qFormat/>
    <w:rsid w:val="007B7188"/>
    <w:pPr>
      <w:ind w:left="720"/>
      <w:contextualSpacing/>
    </w:pPr>
  </w:style>
  <w:style w:type="character" w:customStyle="1" w:styleId="PrrafodelistaCar">
    <w:name w:val="Párrafo de lista Car"/>
    <w:aliases w:val="TIT 2 IND Car"/>
    <w:link w:val="Prrafodelista"/>
    <w:locked/>
    <w:rsid w:val="007B7188"/>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7B7188"/>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7B7188"/>
    <w:pPr>
      <w:spacing w:after="0" w:line="240" w:lineRule="auto"/>
    </w:pPr>
    <w:rPr>
      <w:rFonts w:ascii="Tahoma" w:hAnsi="Tahoma"/>
      <w:sz w:val="16"/>
      <w:szCs w:val="16"/>
    </w:rPr>
  </w:style>
  <w:style w:type="character" w:customStyle="1" w:styleId="TextodegloboCar1">
    <w:name w:val="Texto de globo Car1"/>
    <w:basedOn w:val="Fuentedeprrafopredeter"/>
    <w:uiPriority w:val="99"/>
    <w:semiHidden/>
    <w:rsid w:val="007B7188"/>
    <w:rPr>
      <w:rFonts w:ascii="Tahoma" w:eastAsia="Calibri" w:hAnsi="Tahoma" w:cs="Tahoma"/>
      <w:sz w:val="16"/>
      <w:szCs w:val="16"/>
    </w:rPr>
  </w:style>
  <w:style w:type="paragraph" w:customStyle="1" w:styleId="Contenidodelmarco">
    <w:name w:val="Contenido del marco"/>
    <w:basedOn w:val="Textoindependiente"/>
    <w:rsid w:val="007B7188"/>
    <w:pPr>
      <w:suppressAutoHyphens/>
    </w:pPr>
    <w:rPr>
      <w:rFonts w:cs="Calibri"/>
      <w:kern w:val="2"/>
      <w:lang w:eastAsia="ar-SA"/>
    </w:rPr>
  </w:style>
  <w:style w:type="paragraph" w:styleId="Textoindependiente">
    <w:name w:val="Body Text"/>
    <w:basedOn w:val="Normal"/>
    <w:link w:val="TextoindependienteCar"/>
    <w:uiPriority w:val="99"/>
    <w:unhideWhenUsed/>
    <w:rsid w:val="007B7188"/>
    <w:pPr>
      <w:spacing w:after="120"/>
    </w:pPr>
  </w:style>
  <w:style w:type="character" w:customStyle="1" w:styleId="TextoindependienteCar">
    <w:name w:val="Texto independiente Car"/>
    <w:basedOn w:val="Fuentedeprrafopredeter"/>
    <w:link w:val="Textoindependiente"/>
    <w:uiPriority w:val="99"/>
    <w:rsid w:val="007B7188"/>
    <w:rPr>
      <w:rFonts w:ascii="Calibri" w:eastAsia="Calibri" w:hAnsi="Calibri" w:cs="Times New Roman"/>
    </w:rPr>
  </w:style>
  <w:style w:type="paragraph" w:styleId="Sinespaciado">
    <w:name w:val="No Spacing"/>
    <w:uiPriority w:val="1"/>
    <w:qFormat/>
    <w:rsid w:val="007B7188"/>
    <w:pPr>
      <w:spacing w:after="0" w:line="240" w:lineRule="auto"/>
    </w:pPr>
    <w:rPr>
      <w:rFonts w:ascii="Calibri" w:eastAsia="Calibri" w:hAnsi="Calibri" w:cs="Times New Roman"/>
    </w:rPr>
  </w:style>
  <w:style w:type="paragraph" w:customStyle="1" w:styleId="Standard">
    <w:name w:val="Standard"/>
    <w:rsid w:val="007B7188"/>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7B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7B7188"/>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7B7188"/>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7B7188"/>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7B7188"/>
    <w:rPr>
      <w:color w:val="0000FF" w:themeColor="hyperlink"/>
      <w:u w:val="single"/>
    </w:rPr>
  </w:style>
  <w:style w:type="paragraph" w:customStyle="1" w:styleId="WW-Default">
    <w:name w:val="WW-Default"/>
    <w:rsid w:val="007B7188"/>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7B7188"/>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7B7188"/>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7B7188"/>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7B7188"/>
    <w:rPr>
      <w:sz w:val="16"/>
      <w:szCs w:val="16"/>
    </w:rPr>
  </w:style>
  <w:style w:type="paragraph" w:styleId="Textocomentario">
    <w:name w:val="annotation text"/>
    <w:basedOn w:val="Normal"/>
    <w:link w:val="TextocomentarioCar"/>
    <w:uiPriority w:val="99"/>
    <w:semiHidden/>
    <w:unhideWhenUsed/>
    <w:rsid w:val="007B71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18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7188"/>
    <w:rPr>
      <w:b/>
      <w:bCs/>
    </w:rPr>
  </w:style>
  <w:style w:type="character" w:customStyle="1" w:styleId="AsuntodelcomentarioCar">
    <w:name w:val="Asunto del comentario Car"/>
    <w:basedOn w:val="TextocomentarioCar"/>
    <w:link w:val="Asuntodelcomentario"/>
    <w:uiPriority w:val="99"/>
    <w:semiHidden/>
    <w:rsid w:val="007B7188"/>
    <w:rPr>
      <w:rFonts w:ascii="Calibri" w:eastAsia="Calibri" w:hAnsi="Calibri" w:cs="Times New Roman"/>
      <w:b/>
      <w:bCs/>
      <w:sz w:val="20"/>
      <w:szCs w:val="20"/>
    </w:rPr>
  </w:style>
  <w:style w:type="paragraph" w:styleId="Revisin">
    <w:name w:val="Revision"/>
    <w:hidden/>
    <w:uiPriority w:val="99"/>
    <w:semiHidden/>
    <w:rsid w:val="007B7188"/>
    <w:pPr>
      <w:spacing w:after="0" w:line="240" w:lineRule="auto"/>
    </w:pPr>
    <w:rPr>
      <w:rFonts w:ascii="Calibri" w:eastAsia="Calibri" w:hAnsi="Calibri" w:cs="Times New Roman"/>
    </w:rPr>
  </w:style>
  <w:style w:type="character" w:customStyle="1" w:styleId="hvr">
    <w:name w:val="hvr"/>
    <w:basedOn w:val="Fuentedeprrafopredeter"/>
    <w:rsid w:val="007B7188"/>
  </w:style>
  <w:style w:type="character" w:customStyle="1" w:styleId="object">
    <w:name w:val="object"/>
    <w:basedOn w:val="Fuentedeprrafopredeter"/>
    <w:rsid w:val="007B7188"/>
  </w:style>
  <w:style w:type="paragraph" w:customStyle="1" w:styleId="Default">
    <w:name w:val="Default"/>
    <w:rsid w:val="007B7188"/>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7B71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88"/>
    <w:rPr>
      <w:rFonts w:ascii="Calibri" w:eastAsia="Calibri" w:hAnsi="Calibri" w:cs="Times New Roman"/>
    </w:rPr>
  </w:style>
  <w:style w:type="paragraph" w:styleId="Ttulo1">
    <w:name w:val="heading 1"/>
    <w:basedOn w:val="Normal"/>
    <w:link w:val="Ttulo1Car"/>
    <w:qFormat/>
    <w:rsid w:val="007B7188"/>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7B7188"/>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7B7188"/>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7B7188"/>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7B7188"/>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7188"/>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7B7188"/>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7B7188"/>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7B7188"/>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7B7188"/>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7B7188"/>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7B7188"/>
    <w:pPr>
      <w:spacing w:before="100" w:beforeAutospacing="1" w:after="119" w:line="240" w:lineRule="auto"/>
    </w:pPr>
    <w:rPr>
      <w:rFonts w:eastAsia="Times New Roman"/>
      <w:sz w:val="24"/>
      <w:szCs w:val="24"/>
      <w:lang w:eastAsia="es-EC"/>
    </w:rPr>
  </w:style>
  <w:style w:type="paragraph" w:customStyle="1" w:styleId="cjk">
    <w:name w:val="cjk"/>
    <w:basedOn w:val="Normal"/>
    <w:rsid w:val="007B7188"/>
    <w:pPr>
      <w:spacing w:before="100" w:beforeAutospacing="1" w:after="119" w:line="240" w:lineRule="auto"/>
    </w:pPr>
    <w:rPr>
      <w:rFonts w:eastAsia="Times New Roman"/>
      <w:sz w:val="24"/>
      <w:szCs w:val="24"/>
      <w:lang w:eastAsia="es-EC"/>
    </w:rPr>
  </w:style>
  <w:style w:type="paragraph" w:customStyle="1" w:styleId="ctl">
    <w:name w:val="ctl"/>
    <w:basedOn w:val="Normal"/>
    <w:rsid w:val="007B7188"/>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7B71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188"/>
    <w:rPr>
      <w:rFonts w:ascii="Calibri" w:eastAsia="Calibri" w:hAnsi="Calibri" w:cs="Times New Roman"/>
    </w:rPr>
  </w:style>
  <w:style w:type="paragraph" w:styleId="Piedepgina">
    <w:name w:val="footer"/>
    <w:basedOn w:val="Normal"/>
    <w:link w:val="PiedepginaCar"/>
    <w:uiPriority w:val="99"/>
    <w:unhideWhenUsed/>
    <w:rsid w:val="007B71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188"/>
    <w:rPr>
      <w:rFonts w:ascii="Calibri" w:eastAsia="Calibri" w:hAnsi="Calibri" w:cs="Times New Roman"/>
    </w:rPr>
  </w:style>
  <w:style w:type="paragraph" w:styleId="Prrafodelista">
    <w:name w:val="List Paragraph"/>
    <w:aliases w:val="TIT 2 IND"/>
    <w:basedOn w:val="Normal"/>
    <w:link w:val="PrrafodelistaCar"/>
    <w:qFormat/>
    <w:rsid w:val="007B7188"/>
    <w:pPr>
      <w:ind w:left="720"/>
      <w:contextualSpacing/>
    </w:pPr>
  </w:style>
  <w:style w:type="character" w:customStyle="1" w:styleId="PrrafodelistaCar">
    <w:name w:val="Párrafo de lista Car"/>
    <w:aliases w:val="TIT 2 IND Car"/>
    <w:link w:val="Prrafodelista"/>
    <w:locked/>
    <w:rsid w:val="007B7188"/>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7B7188"/>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7B7188"/>
    <w:pPr>
      <w:spacing w:after="0" w:line="240" w:lineRule="auto"/>
    </w:pPr>
    <w:rPr>
      <w:rFonts w:ascii="Tahoma" w:hAnsi="Tahoma"/>
      <w:sz w:val="16"/>
      <w:szCs w:val="16"/>
    </w:rPr>
  </w:style>
  <w:style w:type="character" w:customStyle="1" w:styleId="TextodegloboCar1">
    <w:name w:val="Texto de globo Car1"/>
    <w:basedOn w:val="Fuentedeprrafopredeter"/>
    <w:uiPriority w:val="99"/>
    <w:semiHidden/>
    <w:rsid w:val="007B7188"/>
    <w:rPr>
      <w:rFonts w:ascii="Tahoma" w:eastAsia="Calibri" w:hAnsi="Tahoma" w:cs="Tahoma"/>
      <w:sz w:val="16"/>
      <w:szCs w:val="16"/>
    </w:rPr>
  </w:style>
  <w:style w:type="paragraph" w:customStyle="1" w:styleId="Contenidodelmarco">
    <w:name w:val="Contenido del marco"/>
    <w:basedOn w:val="Textoindependiente"/>
    <w:rsid w:val="007B7188"/>
    <w:pPr>
      <w:suppressAutoHyphens/>
    </w:pPr>
    <w:rPr>
      <w:rFonts w:cs="Calibri"/>
      <w:kern w:val="2"/>
      <w:lang w:eastAsia="ar-SA"/>
    </w:rPr>
  </w:style>
  <w:style w:type="paragraph" w:styleId="Textoindependiente">
    <w:name w:val="Body Text"/>
    <w:basedOn w:val="Normal"/>
    <w:link w:val="TextoindependienteCar"/>
    <w:uiPriority w:val="99"/>
    <w:unhideWhenUsed/>
    <w:rsid w:val="007B7188"/>
    <w:pPr>
      <w:spacing w:after="120"/>
    </w:pPr>
  </w:style>
  <w:style w:type="character" w:customStyle="1" w:styleId="TextoindependienteCar">
    <w:name w:val="Texto independiente Car"/>
    <w:basedOn w:val="Fuentedeprrafopredeter"/>
    <w:link w:val="Textoindependiente"/>
    <w:uiPriority w:val="99"/>
    <w:rsid w:val="007B7188"/>
    <w:rPr>
      <w:rFonts w:ascii="Calibri" w:eastAsia="Calibri" w:hAnsi="Calibri" w:cs="Times New Roman"/>
    </w:rPr>
  </w:style>
  <w:style w:type="paragraph" w:styleId="Sinespaciado">
    <w:name w:val="No Spacing"/>
    <w:uiPriority w:val="1"/>
    <w:qFormat/>
    <w:rsid w:val="007B7188"/>
    <w:pPr>
      <w:spacing w:after="0" w:line="240" w:lineRule="auto"/>
    </w:pPr>
    <w:rPr>
      <w:rFonts w:ascii="Calibri" w:eastAsia="Calibri" w:hAnsi="Calibri" w:cs="Times New Roman"/>
    </w:rPr>
  </w:style>
  <w:style w:type="paragraph" w:customStyle="1" w:styleId="Standard">
    <w:name w:val="Standard"/>
    <w:rsid w:val="007B7188"/>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7B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7B7188"/>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7B7188"/>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7B7188"/>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7B7188"/>
    <w:rPr>
      <w:color w:val="0000FF" w:themeColor="hyperlink"/>
      <w:u w:val="single"/>
    </w:rPr>
  </w:style>
  <w:style w:type="paragraph" w:customStyle="1" w:styleId="WW-Default">
    <w:name w:val="WW-Default"/>
    <w:rsid w:val="007B7188"/>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7B7188"/>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7B7188"/>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7B7188"/>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7B7188"/>
    <w:rPr>
      <w:sz w:val="16"/>
      <w:szCs w:val="16"/>
    </w:rPr>
  </w:style>
  <w:style w:type="paragraph" w:styleId="Textocomentario">
    <w:name w:val="annotation text"/>
    <w:basedOn w:val="Normal"/>
    <w:link w:val="TextocomentarioCar"/>
    <w:uiPriority w:val="99"/>
    <w:semiHidden/>
    <w:unhideWhenUsed/>
    <w:rsid w:val="007B71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18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7188"/>
    <w:rPr>
      <w:b/>
      <w:bCs/>
    </w:rPr>
  </w:style>
  <w:style w:type="character" w:customStyle="1" w:styleId="AsuntodelcomentarioCar">
    <w:name w:val="Asunto del comentario Car"/>
    <w:basedOn w:val="TextocomentarioCar"/>
    <w:link w:val="Asuntodelcomentario"/>
    <w:uiPriority w:val="99"/>
    <w:semiHidden/>
    <w:rsid w:val="007B7188"/>
    <w:rPr>
      <w:rFonts w:ascii="Calibri" w:eastAsia="Calibri" w:hAnsi="Calibri" w:cs="Times New Roman"/>
      <w:b/>
      <w:bCs/>
      <w:sz w:val="20"/>
      <w:szCs w:val="20"/>
    </w:rPr>
  </w:style>
  <w:style w:type="paragraph" w:styleId="Revisin">
    <w:name w:val="Revision"/>
    <w:hidden/>
    <w:uiPriority w:val="99"/>
    <w:semiHidden/>
    <w:rsid w:val="007B7188"/>
    <w:pPr>
      <w:spacing w:after="0" w:line="240" w:lineRule="auto"/>
    </w:pPr>
    <w:rPr>
      <w:rFonts w:ascii="Calibri" w:eastAsia="Calibri" w:hAnsi="Calibri" w:cs="Times New Roman"/>
    </w:rPr>
  </w:style>
  <w:style w:type="character" w:customStyle="1" w:styleId="hvr">
    <w:name w:val="hvr"/>
    <w:basedOn w:val="Fuentedeprrafopredeter"/>
    <w:rsid w:val="007B7188"/>
  </w:style>
  <w:style w:type="character" w:customStyle="1" w:styleId="object">
    <w:name w:val="object"/>
    <w:basedOn w:val="Fuentedeprrafopredeter"/>
    <w:rsid w:val="007B7188"/>
  </w:style>
  <w:style w:type="paragraph" w:customStyle="1" w:styleId="Default">
    <w:name w:val="Default"/>
    <w:rsid w:val="007B7188"/>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7B7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Sercop\AppData\Local\Temp\www.compraspublicas.gob.e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6348</Words>
  <Characters>34919</Characters>
  <Application>Microsoft Office Word</Application>
  <DocSecurity>0</DocSecurity>
  <Lines>290</Lines>
  <Paragraphs>82</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FORMULARIOS </vt:lpstr>
      <vt:lpstr>4.1 Formulario de adhesión a las especificaciones técnicas y condiciones económi</vt:lpstr>
      <vt:lpstr>4.1.1 CARTA DE PRESENTACIÓN Y COMPROMISO</vt:lpstr>
      <vt:lpstr>4.1.2 DATOS GENERALES DEL OFERENTE</vt:lpstr>
      <vt:lpstr>TABLA DE CANTIDADES Y PRECIOS	</vt:lpstr>
      <vt:lpstr>4.1.4  NÓMINA DE SOCIO(S), ACCIONISTA(S) O PARTÍCIPE(S) MAYORITARIOS DE PERSONA </vt:lpstr>
      <vt:lpstr>4.1.5  LISTADO DE SOCIOS O EMPLEADOS</vt:lpstr>
      <vt:lpstr/>
      <vt:lpstr>4.2 FORMULARIO DE COMPROMISO DE ASOCIACIÓN O CONSORCIO (DE SER EL CASO)</vt:lpstr>
    </vt:vector>
  </TitlesOfParts>
  <Company>Hewlett-Packard Company</Company>
  <LinksUpToDate>false</LinksUpToDate>
  <CharactersWithSpaces>41185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Ojeda</dc:creator>
  <cp:lastModifiedBy>Victor Ojeda</cp:lastModifiedBy>
  <cp:revision>1</cp:revision>
  <dcterms:created xsi:type="dcterms:W3CDTF">2016-12-07T17:08:00Z</dcterms:created>
  <dcterms:modified xsi:type="dcterms:W3CDTF">2016-12-07T17:08:00Z</dcterms:modified>
</cp:coreProperties>
</file>